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06F85">
      <w:pPr>
        <w:rPr>
          <w:rFonts w:ascii="仿宋_GB2312" w:hAnsi="仿宋_GB2312" w:eastAsia="仿宋_GB2312"/>
          <w:sz w:val="32"/>
          <w:szCs w:val="32"/>
          <w:lang w:eastAsia="zh-CN"/>
        </w:rPr>
      </w:pPr>
      <w:r>
        <w:rPr>
          <w:rFonts w:hint="eastAsia" w:ascii="仿宋_GB2312" w:hAnsi="仿宋_GB2312" w:eastAsia="仿宋_GB2312"/>
          <w:sz w:val="32"/>
          <w:szCs w:val="32"/>
          <w:lang w:eastAsia="zh-CN"/>
        </w:rPr>
        <w:t>附件</w:t>
      </w:r>
      <w:r>
        <w:rPr>
          <w:rFonts w:hint="eastAsia" w:ascii="仿宋_GB2312" w:hAnsi="仿宋_GB2312" w:eastAsia="仿宋_GB2312"/>
          <w:sz w:val="32"/>
          <w:szCs w:val="32"/>
          <w:lang w:val="en-US" w:eastAsia="zh-CN"/>
        </w:rPr>
        <w:t>2</w:t>
      </w:r>
    </w:p>
    <w:p w14:paraId="531B3D94">
      <w:pPr>
        <w:rPr>
          <w:rFonts w:ascii="仿宋_GB2312" w:hAnsi="仿宋_GB2312" w:eastAsia="仿宋_GB2312"/>
          <w:lang w:eastAsia="zh-CN"/>
        </w:rPr>
      </w:pPr>
    </w:p>
    <w:p w14:paraId="10150F1C">
      <w:pPr>
        <w:rPr>
          <w:rFonts w:ascii="仿宋_GB2312" w:hAnsi="仿宋_GB2312" w:eastAsia="仿宋_GB2312"/>
          <w:lang w:eastAsia="zh-CN"/>
        </w:rPr>
      </w:pPr>
    </w:p>
    <w:p w14:paraId="4C1FA992">
      <w:pPr>
        <w:rPr>
          <w:rFonts w:ascii="仿宋_GB2312" w:hAnsi="仿宋_GB2312" w:eastAsia="仿宋_GB2312"/>
          <w:lang w:eastAsia="zh-CN"/>
        </w:rPr>
      </w:pPr>
      <w:bookmarkStart w:id="4" w:name="_GoBack"/>
      <w:bookmarkEnd w:id="4"/>
    </w:p>
    <w:p w14:paraId="2BCC2A63">
      <w:pPr>
        <w:rPr>
          <w:rFonts w:ascii="仿宋_GB2312" w:hAnsi="仿宋_GB2312" w:eastAsia="仿宋_GB2312"/>
          <w:lang w:eastAsia="zh-CN"/>
        </w:rPr>
      </w:pPr>
    </w:p>
    <w:p w14:paraId="20F2809E">
      <w:pPr>
        <w:rPr>
          <w:rFonts w:ascii="仿宋_GB2312" w:hAnsi="仿宋_GB2312" w:eastAsia="仿宋_GB2312"/>
          <w:lang w:eastAsia="zh-CN"/>
        </w:rPr>
      </w:pPr>
    </w:p>
    <w:p w14:paraId="6D886258">
      <w:pPr>
        <w:jc w:val="center"/>
        <w:rPr>
          <w:rFonts w:ascii="仿宋_GB2312" w:hAnsi="仿宋_GB2312" w:eastAsia="仿宋_GB2312" w:cs="方正小标宋简体"/>
          <w:spacing w:val="20"/>
          <w:sz w:val="52"/>
          <w:szCs w:val="52"/>
          <w:lang w:eastAsia="zh-CN"/>
        </w:rPr>
      </w:pPr>
      <w:r>
        <w:rPr>
          <w:rFonts w:hint="eastAsia" w:ascii="仿宋_GB2312" w:hAnsi="仿宋_GB2312" w:eastAsia="仿宋_GB2312" w:cs="方正小标宋简体"/>
          <w:spacing w:val="20"/>
          <w:sz w:val="52"/>
          <w:szCs w:val="52"/>
          <w:lang w:eastAsia="zh-CN"/>
        </w:rPr>
        <w:t>中国粮油学会团体标准</w:t>
      </w:r>
    </w:p>
    <w:p w14:paraId="73FB66A6">
      <w:pPr>
        <w:rPr>
          <w:rFonts w:ascii="仿宋_GB2312" w:hAnsi="仿宋_GB2312" w:eastAsia="仿宋_GB2312"/>
          <w:lang w:eastAsia="zh-CN"/>
        </w:rPr>
      </w:pPr>
    </w:p>
    <w:p w14:paraId="1717361F">
      <w:pPr>
        <w:rPr>
          <w:rFonts w:ascii="仿宋_GB2312" w:hAnsi="仿宋_GB2312" w:eastAsia="仿宋_GB2312"/>
          <w:lang w:eastAsia="zh-CN"/>
        </w:rPr>
      </w:pPr>
    </w:p>
    <w:p w14:paraId="313F92BF">
      <w:pPr>
        <w:rPr>
          <w:rFonts w:ascii="仿宋_GB2312" w:hAnsi="仿宋_GB2312" w:eastAsia="仿宋_GB2312"/>
          <w:lang w:eastAsia="zh-CN"/>
        </w:rPr>
      </w:pPr>
    </w:p>
    <w:p w14:paraId="261277A2">
      <w:pPr>
        <w:rPr>
          <w:rFonts w:ascii="仿宋_GB2312" w:hAnsi="仿宋_GB2312" w:eastAsia="仿宋_GB2312"/>
          <w:lang w:eastAsia="zh-CN"/>
        </w:rPr>
      </w:pPr>
    </w:p>
    <w:p w14:paraId="297571C2">
      <w:pPr>
        <w:rPr>
          <w:rFonts w:ascii="仿宋_GB2312" w:hAnsi="仿宋_GB2312" w:eastAsia="仿宋_GB2312"/>
          <w:lang w:eastAsia="zh-CN"/>
        </w:rPr>
      </w:pPr>
    </w:p>
    <w:p w14:paraId="18A69BA7">
      <w:pPr>
        <w:rPr>
          <w:rFonts w:ascii="仿宋_GB2312" w:hAnsi="仿宋_GB2312" w:eastAsia="仿宋_GB2312"/>
          <w:lang w:eastAsia="zh-CN"/>
        </w:rPr>
      </w:pPr>
    </w:p>
    <w:p w14:paraId="3C89993D">
      <w:pPr>
        <w:rPr>
          <w:rFonts w:ascii="仿宋_GB2312" w:hAnsi="仿宋_GB2312" w:eastAsia="仿宋_GB2312"/>
          <w:lang w:eastAsia="zh-CN"/>
        </w:rPr>
      </w:pPr>
    </w:p>
    <w:p w14:paraId="70535D69">
      <w:pPr>
        <w:rPr>
          <w:rFonts w:ascii="仿宋_GB2312" w:hAnsi="仿宋_GB2312" w:eastAsia="仿宋_GB2312"/>
          <w:lang w:eastAsia="zh-CN"/>
        </w:rPr>
      </w:pPr>
    </w:p>
    <w:p w14:paraId="330A4792">
      <w:pPr>
        <w:rPr>
          <w:rFonts w:ascii="仿宋_GB2312" w:hAnsi="仿宋_GB2312" w:eastAsia="仿宋_GB2312"/>
          <w:lang w:eastAsia="zh-CN"/>
        </w:rPr>
      </w:pPr>
    </w:p>
    <w:p w14:paraId="6FAE3B8D">
      <w:pPr>
        <w:rPr>
          <w:rFonts w:ascii="仿宋_GB2312" w:hAnsi="仿宋_GB2312" w:eastAsia="仿宋_GB2312"/>
          <w:lang w:eastAsia="zh-CN"/>
        </w:rPr>
      </w:pPr>
    </w:p>
    <w:p w14:paraId="13ABE36D">
      <w:pPr>
        <w:rPr>
          <w:rFonts w:ascii="仿宋_GB2312" w:hAnsi="仿宋_GB2312" w:eastAsia="仿宋_GB2312"/>
          <w:lang w:eastAsia="zh-CN"/>
        </w:rPr>
      </w:pPr>
    </w:p>
    <w:p w14:paraId="1D7FF716">
      <w:pPr>
        <w:rPr>
          <w:rFonts w:ascii="仿宋_GB2312" w:hAnsi="仿宋_GB2312" w:eastAsia="仿宋_GB2312"/>
          <w:lang w:eastAsia="zh-CN"/>
        </w:rPr>
      </w:pPr>
    </w:p>
    <w:p w14:paraId="48641788">
      <w:pPr>
        <w:jc w:val="center"/>
        <w:rPr>
          <w:rFonts w:ascii="仿宋_GB2312" w:hAnsi="仿宋_GB2312" w:eastAsia="仿宋_GB2312" w:cs="黑体"/>
          <w:bCs/>
          <w:sz w:val="52"/>
          <w:szCs w:val="52"/>
          <w:lang w:eastAsia="zh-CN"/>
        </w:rPr>
      </w:pPr>
      <w:r>
        <w:rPr>
          <w:rFonts w:hint="eastAsia" w:ascii="仿宋_GB2312" w:hAnsi="仿宋_GB2312" w:eastAsia="仿宋_GB2312" w:cs="华文中宋"/>
          <w:sz w:val="52"/>
          <w:szCs w:val="52"/>
          <w:lang w:eastAsia="zh-CN"/>
        </w:rPr>
        <w:t>小麦生产过程减损技术通则</w:t>
      </w:r>
    </w:p>
    <w:p w14:paraId="14D1AEB0">
      <w:pPr>
        <w:spacing w:before="156" w:beforeLines="50"/>
        <w:jc w:val="center"/>
        <w:rPr>
          <w:rFonts w:ascii="仿宋_GB2312" w:hAnsi="仿宋_GB2312" w:eastAsia="仿宋_GB2312" w:cs="黑体"/>
          <w:bCs/>
          <w:sz w:val="44"/>
          <w:szCs w:val="44"/>
          <w:lang w:eastAsia="zh-CN"/>
        </w:rPr>
      </w:pPr>
      <w:r>
        <w:rPr>
          <w:rFonts w:hint="eastAsia" w:ascii="仿宋_GB2312" w:hAnsi="仿宋_GB2312" w:eastAsia="仿宋_GB2312" w:cs="黑体"/>
          <w:bCs/>
          <w:sz w:val="44"/>
          <w:szCs w:val="44"/>
          <w:lang w:eastAsia="zh-CN"/>
        </w:rPr>
        <w:t>（征求意见</w:t>
      </w:r>
      <w:r>
        <w:rPr>
          <w:rFonts w:hint="eastAsia" w:ascii="仿宋_GB2312" w:hAnsi="仿宋_GB2312" w:eastAsia="仿宋_GB2312" w:cs="黑体"/>
          <w:bCs/>
          <w:color w:val="auto"/>
          <w:sz w:val="44"/>
          <w:szCs w:val="44"/>
          <w:lang w:eastAsia="zh-CN"/>
        </w:rPr>
        <w:t>稿</w:t>
      </w:r>
      <w:r>
        <w:rPr>
          <w:rFonts w:hint="eastAsia" w:ascii="仿宋_GB2312" w:hAnsi="仿宋_GB2312" w:eastAsia="仿宋_GB2312" w:cs="黑体"/>
          <w:bCs/>
          <w:sz w:val="44"/>
          <w:szCs w:val="44"/>
          <w:lang w:eastAsia="zh-CN"/>
        </w:rPr>
        <w:t>）</w:t>
      </w:r>
    </w:p>
    <w:p w14:paraId="5BA0A095">
      <w:pPr>
        <w:spacing w:before="156" w:beforeLines="50"/>
        <w:jc w:val="center"/>
        <w:rPr>
          <w:rFonts w:ascii="仿宋_GB2312" w:hAnsi="仿宋_GB2312" w:eastAsia="仿宋_GB2312" w:cs="黑体"/>
          <w:bCs/>
          <w:sz w:val="44"/>
          <w:szCs w:val="44"/>
          <w:lang w:eastAsia="zh-CN"/>
        </w:rPr>
      </w:pPr>
      <w:r>
        <w:rPr>
          <w:rFonts w:hint="eastAsia" w:ascii="仿宋_GB2312" w:hAnsi="仿宋_GB2312" w:eastAsia="仿宋_GB2312" w:cs="黑体"/>
          <w:bCs/>
          <w:sz w:val="44"/>
          <w:szCs w:val="44"/>
          <w:lang w:eastAsia="zh-CN"/>
        </w:rPr>
        <w:t>编制说明</w:t>
      </w:r>
    </w:p>
    <w:p w14:paraId="7E3ED384">
      <w:pPr>
        <w:rPr>
          <w:rFonts w:ascii="仿宋_GB2312" w:hAnsi="仿宋_GB2312" w:eastAsia="仿宋_GB2312"/>
          <w:b/>
          <w:lang w:eastAsia="zh-CN"/>
        </w:rPr>
      </w:pPr>
    </w:p>
    <w:p w14:paraId="1148DEB7">
      <w:pPr>
        <w:rPr>
          <w:rFonts w:ascii="仿宋_GB2312" w:hAnsi="仿宋_GB2312" w:eastAsia="仿宋_GB2312"/>
          <w:b/>
          <w:lang w:eastAsia="zh-CN"/>
        </w:rPr>
      </w:pPr>
    </w:p>
    <w:p w14:paraId="2D110A84">
      <w:pPr>
        <w:rPr>
          <w:rFonts w:ascii="仿宋_GB2312" w:hAnsi="仿宋_GB2312" w:eastAsia="仿宋_GB2312"/>
          <w:b/>
          <w:lang w:eastAsia="zh-CN"/>
        </w:rPr>
      </w:pPr>
    </w:p>
    <w:p w14:paraId="3FFAA2B9">
      <w:pPr>
        <w:rPr>
          <w:rFonts w:ascii="仿宋_GB2312" w:hAnsi="仿宋_GB2312" w:eastAsia="仿宋_GB2312"/>
          <w:b/>
          <w:lang w:eastAsia="zh-CN"/>
        </w:rPr>
      </w:pPr>
    </w:p>
    <w:p w14:paraId="727D4B27">
      <w:pPr>
        <w:rPr>
          <w:rFonts w:ascii="仿宋_GB2312" w:hAnsi="仿宋_GB2312" w:eastAsia="仿宋_GB2312"/>
          <w:b/>
          <w:lang w:eastAsia="zh-CN"/>
        </w:rPr>
      </w:pPr>
    </w:p>
    <w:p w14:paraId="7DC4A404">
      <w:pPr>
        <w:rPr>
          <w:rFonts w:ascii="仿宋_GB2312" w:hAnsi="仿宋_GB2312" w:eastAsia="仿宋_GB2312"/>
          <w:b/>
          <w:lang w:eastAsia="zh-CN"/>
        </w:rPr>
      </w:pPr>
    </w:p>
    <w:p w14:paraId="3EA6CE95">
      <w:pPr>
        <w:rPr>
          <w:rFonts w:ascii="仿宋_GB2312" w:hAnsi="仿宋_GB2312" w:eastAsia="仿宋_GB2312"/>
          <w:b/>
          <w:lang w:eastAsia="zh-CN"/>
        </w:rPr>
      </w:pPr>
    </w:p>
    <w:p w14:paraId="148E16B9">
      <w:pPr>
        <w:rPr>
          <w:rFonts w:ascii="仿宋_GB2312" w:hAnsi="仿宋_GB2312" w:eastAsia="仿宋_GB2312"/>
          <w:b/>
          <w:lang w:eastAsia="zh-CN"/>
        </w:rPr>
      </w:pPr>
    </w:p>
    <w:p w14:paraId="0DD7F428">
      <w:pPr>
        <w:rPr>
          <w:rFonts w:ascii="仿宋_GB2312" w:hAnsi="仿宋_GB2312" w:eastAsia="仿宋_GB2312"/>
          <w:b/>
          <w:lang w:eastAsia="zh-CN"/>
        </w:rPr>
      </w:pPr>
    </w:p>
    <w:p w14:paraId="223718D1">
      <w:pPr>
        <w:rPr>
          <w:rFonts w:ascii="仿宋_GB2312" w:hAnsi="仿宋_GB2312" w:eastAsia="仿宋_GB2312"/>
          <w:b/>
          <w:lang w:eastAsia="zh-CN"/>
        </w:rPr>
      </w:pPr>
    </w:p>
    <w:p w14:paraId="5A49D934">
      <w:pPr>
        <w:rPr>
          <w:rFonts w:ascii="仿宋_GB2312" w:hAnsi="仿宋_GB2312" w:eastAsia="仿宋_GB2312"/>
          <w:b/>
          <w:lang w:eastAsia="zh-CN"/>
        </w:rPr>
      </w:pPr>
    </w:p>
    <w:p w14:paraId="449A87B0">
      <w:pPr>
        <w:rPr>
          <w:rFonts w:ascii="仿宋_GB2312" w:hAnsi="仿宋_GB2312" w:eastAsia="仿宋_GB2312"/>
          <w:b/>
          <w:lang w:eastAsia="zh-CN"/>
        </w:rPr>
      </w:pPr>
    </w:p>
    <w:p w14:paraId="389040F5">
      <w:pPr>
        <w:rPr>
          <w:rFonts w:ascii="仿宋_GB2312" w:hAnsi="仿宋_GB2312" w:eastAsia="仿宋_GB2312"/>
          <w:b/>
          <w:lang w:eastAsia="zh-CN"/>
        </w:rPr>
      </w:pPr>
    </w:p>
    <w:p w14:paraId="296C56BC">
      <w:pPr>
        <w:rPr>
          <w:rFonts w:ascii="仿宋_GB2312" w:hAnsi="仿宋_GB2312" w:eastAsia="仿宋_GB2312"/>
          <w:b/>
          <w:lang w:eastAsia="zh-CN"/>
        </w:rPr>
      </w:pPr>
    </w:p>
    <w:p w14:paraId="13239BC2">
      <w:pPr>
        <w:jc w:val="center"/>
        <w:rPr>
          <w:rFonts w:ascii="仿宋_GB2312" w:hAnsi="仿宋_GB2312" w:eastAsia="仿宋_GB2312" w:cs="黑体"/>
          <w:bCs/>
          <w:sz w:val="36"/>
          <w:szCs w:val="36"/>
          <w:lang w:eastAsia="zh-CN"/>
        </w:rPr>
      </w:pPr>
      <w:r>
        <w:rPr>
          <w:rFonts w:hint="eastAsia" w:ascii="仿宋_GB2312" w:hAnsi="仿宋_GB2312" w:eastAsia="仿宋_GB2312" w:cs="黑体"/>
          <w:bCs/>
          <w:sz w:val="36"/>
          <w:szCs w:val="36"/>
          <w:lang w:eastAsia="zh-CN"/>
        </w:rPr>
        <w:t>标准起草组</w:t>
      </w:r>
    </w:p>
    <w:p w14:paraId="1B25F96C">
      <w:pPr>
        <w:spacing w:before="156" w:beforeLines="50"/>
        <w:jc w:val="center"/>
        <w:rPr>
          <w:rFonts w:ascii="仿宋_GB2312" w:hAnsi="仿宋_GB2312" w:eastAsia="仿宋_GB2312" w:cs="黑体"/>
          <w:bCs/>
          <w:lang w:eastAsia="zh-CN"/>
        </w:rPr>
      </w:pPr>
      <w:r>
        <w:rPr>
          <w:rFonts w:hint="eastAsia" w:ascii="仿宋_GB2312" w:hAnsi="仿宋_GB2312" w:eastAsia="仿宋_GB2312" w:cs="黑体"/>
          <w:bCs/>
          <w:sz w:val="36"/>
          <w:szCs w:val="36"/>
          <w:lang w:eastAsia="zh-CN"/>
        </w:rPr>
        <w:t>202</w:t>
      </w:r>
      <w:r>
        <w:rPr>
          <w:rFonts w:ascii="仿宋_GB2312" w:hAnsi="仿宋_GB2312" w:eastAsia="仿宋_GB2312" w:cs="黑体"/>
          <w:bCs/>
          <w:sz w:val="36"/>
          <w:szCs w:val="36"/>
          <w:lang w:eastAsia="zh-CN"/>
        </w:rPr>
        <w:t>6</w:t>
      </w:r>
      <w:r>
        <w:rPr>
          <w:rFonts w:hint="eastAsia" w:ascii="仿宋_GB2312" w:hAnsi="仿宋_GB2312" w:eastAsia="仿宋_GB2312" w:cs="黑体"/>
          <w:bCs/>
          <w:sz w:val="36"/>
          <w:szCs w:val="36"/>
          <w:lang w:eastAsia="zh-CN"/>
        </w:rPr>
        <w:t>年5月</w:t>
      </w:r>
    </w:p>
    <w:p w14:paraId="15BBCE72">
      <w:pPr>
        <w:widowControl w:val="0"/>
        <w:kinsoku/>
        <w:autoSpaceDE/>
        <w:autoSpaceDN/>
        <w:spacing w:line="560" w:lineRule="exact"/>
        <w:jc w:val="center"/>
        <w:textAlignment w:val="auto"/>
        <w:rPr>
          <w:rFonts w:ascii="仿宋_GB2312" w:hAnsi="仿宋_GB2312" w:eastAsia="仿宋_GB2312"/>
          <w:sz w:val="36"/>
          <w:szCs w:val="36"/>
          <w:lang w:eastAsia="zh-CN"/>
        </w:rPr>
      </w:pPr>
      <w:r>
        <w:rPr>
          <w:rFonts w:hint="eastAsia" w:ascii="仿宋_GB2312" w:hAnsi="仿宋_GB2312" w:eastAsia="仿宋_GB2312"/>
          <w:sz w:val="36"/>
          <w:szCs w:val="36"/>
          <w:lang w:eastAsia="zh-CN"/>
        </w:rPr>
        <w:t>《</w:t>
      </w:r>
      <w:r>
        <w:rPr>
          <w:rFonts w:hint="eastAsia" w:ascii="仿宋_GB2312" w:hAnsi="仿宋_GB2312" w:eastAsia="仿宋_GB2312" w:cs="Times New Roman"/>
          <w:kern w:val="2"/>
          <w:sz w:val="36"/>
          <w:szCs w:val="36"/>
          <w:lang w:eastAsia="zh-CN"/>
        </w:rPr>
        <w:t>小麦生产过程减损技术通则</w:t>
      </w:r>
      <w:r>
        <w:rPr>
          <w:rFonts w:hint="eastAsia" w:ascii="仿宋_GB2312" w:hAnsi="仿宋_GB2312" w:eastAsia="仿宋_GB2312"/>
          <w:sz w:val="36"/>
          <w:szCs w:val="36"/>
          <w:lang w:eastAsia="zh-CN"/>
        </w:rPr>
        <w:t>》编制说明</w:t>
      </w:r>
    </w:p>
    <w:p w14:paraId="49F878FA">
      <w:pPr>
        <w:widowControl w:val="0"/>
        <w:kinsoku/>
        <w:autoSpaceDE/>
        <w:autoSpaceDN/>
        <w:spacing w:line="560" w:lineRule="exact"/>
        <w:jc w:val="center"/>
        <w:textAlignment w:val="auto"/>
        <w:rPr>
          <w:rFonts w:ascii="仿宋_GB2312" w:hAnsi="仿宋_GB2312" w:eastAsia="仿宋_GB2312"/>
          <w:sz w:val="32"/>
          <w:szCs w:val="32"/>
          <w:lang w:eastAsia="zh-CN"/>
        </w:rPr>
      </w:pPr>
    </w:p>
    <w:p w14:paraId="17651CBD">
      <w:pPr>
        <w:widowControl w:val="0"/>
        <w:kinsoku/>
        <w:autoSpaceDE/>
        <w:autoSpaceDN/>
        <w:spacing w:line="500" w:lineRule="exact"/>
        <w:ind w:firstLine="562"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1.工作简况</w:t>
      </w:r>
      <w:r>
        <w:rPr>
          <w:rFonts w:hint="eastAsia" w:ascii="仿宋_GB2312" w:hAnsi="仿宋_GB2312" w:eastAsia="仿宋_GB2312" w:cs="仿宋_GB2312"/>
          <w:sz w:val="28"/>
          <w:szCs w:val="28"/>
          <w:lang w:eastAsia="zh-CN"/>
        </w:rPr>
        <w:t>（包括任务来源、协作单位、主要工作过程、标准主要起草人及其所做的工作等）</w:t>
      </w:r>
    </w:p>
    <w:p w14:paraId="73618A17">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1.1任务来源</w:t>
      </w:r>
      <w:r>
        <w:rPr>
          <w:rFonts w:hint="eastAsia" w:ascii="仿宋_GB2312" w:hAnsi="仿宋_GB2312" w:eastAsia="仿宋_GB2312" w:cs="仿宋_GB2312"/>
          <w:bCs/>
          <w:sz w:val="28"/>
          <w:szCs w:val="28"/>
          <w:lang w:eastAsia="zh-CN"/>
        </w:rPr>
        <w:t>（包括</w:t>
      </w:r>
      <w:bookmarkStart w:id="0" w:name="_Hlk111477055"/>
      <w:r>
        <w:rPr>
          <w:rFonts w:hint="eastAsia" w:ascii="仿宋_GB2312" w:hAnsi="仿宋_GB2312" w:eastAsia="仿宋_GB2312" w:cs="仿宋_GB2312"/>
          <w:bCs/>
          <w:sz w:val="28"/>
          <w:szCs w:val="28"/>
          <w:lang w:eastAsia="zh-CN"/>
        </w:rPr>
        <w:t>标准下达计划</w:t>
      </w:r>
      <w:bookmarkEnd w:id="0"/>
      <w:r>
        <w:rPr>
          <w:rFonts w:hint="eastAsia" w:ascii="仿宋_GB2312" w:hAnsi="仿宋_GB2312" w:eastAsia="仿宋_GB2312" w:cs="仿宋_GB2312"/>
          <w:bCs/>
          <w:sz w:val="28"/>
          <w:szCs w:val="28"/>
          <w:lang w:eastAsia="zh-CN"/>
        </w:rPr>
        <w:t>、标准计划项目调整、</w:t>
      </w:r>
      <w:bookmarkStart w:id="1" w:name="_Hlk111477094"/>
      <w:r>
        <w:rPr>
          <w:rFonts w:hint="eastAsia" w:ascii="仿宋_GB2312" w:hAnsi="仿宋_GB2312" w:eastAsia="仿宋_GB2312" w:cs="仿宋_GB2312"/>
          <w:bCs/>
          <w:sz w:val="28"/>
          <w:szCs w:val="28"/>
          <w:lang w:eastAsia="zh-CN"/>
        </w:rPr>
        <w:t>标准制修订的背景、必要性和重要</w:t>
      </w:r>
      <w:bookmarkEnd w:id="1"/>
      <w:r>
        <w:rPr>
          <w:rFonts w:hint="eastAsia" w:ascii="仿宋_GB2312" w:hAnsi="仿宋_GB2312" w:eastAsia="仿宋_GB2312" w:cs="仿宋_GB2312"/>
          <w:bCs/>
          <w:sz w:val="28"/>
          <w:szCs w:val="28"/>
          <w:lang w:eastAsia="zh-CN"/>
        </w:rPr>
        <w:t>意义等）</w:t>
      </w:r>
    </w:p>
    <w:p w14:paraId="29883786">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1.1.1 标准下达计划（包括标准下达计划文件、标准名称、第一起草单位等）</w:t>
      </w:r>
    </w:p>
    <w:p w14:paraId="5D1ED735">
      <w:pPr>
        <w:pStyle w:val="3"/>
        <w:spacing w:after="0" w:line="500" w:lineRule="exact"/>
        <w:ind w:left="0" w:leftChars="0"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w:t>
      </w:r>
      <w:r>
        <w:rPr>
          <w:rFonts w:hint="eastAsia" w:ascii="仿宋_GB2312" w:hAnsi="仿宋_GB2312" w:eastAsia="仿宋_GB2312" w:cs="Times New Roman"/>
          <w:kern w:val="2"/>
          <w:sz w:val="28"/>
          <w:szCs w:val="28"/>
          <w:lang w:eastAsia="zh-CN"/>
        </w:rPr>
        <w:t>小麦生产过程减损技术通则</w:t>
      </w:r>
      <w:r>
        <w:rPr>
          <w:rFonts w:hint="eastAsia" w:ascii="仿宋_GB2312" w:hAnsi="仿宋_GB2312" w:eastAsia="仿宋_GB2312"/>
          <w:sz w:val="28"/>
          <w:szCs w:val="28"/>
          <w:lang w:eastAsia="zh-CN"/>
        </w:rPr>
        <w:t>》团体标准的制定，是依据中国粮油学会</w:t>
      </w:r>
      <w:r>
        <w:rPr>
          <w:rFonts w:ascii="仿宋_GB2312" w:hAnsi="仿宋_GB2312" w:eastAsia="仿宋_GB2312"/>
          <w:sz w:val="28"/>
          <w:szCs w:val="28"/>
          <w:lang w:eastAsia="zh-CN"/>
        </w:rPr>
        <w:t>2023</w:t>
      </w:r>
      <w:r>
        <w:rPr>
          <w:rFonts w:hint="eastAsia" w:ascii="仿宋_GB2312" w:hAnsi="仿宋_GB2312" w:eastAsia="仿宋_GB2312"/>
          <w:sz w:val="28"/>
          <w:szCs w:val="28"/>
          <w:lang w:eastAsia="zh-CN"/>
        </w:rPr>
        <w:t>年团体标准立项公告（中粮油学发</w:t>
      </w:r>
      <w:r>
        <w:rPr>
          <w:rFonts w:ascii="仿宋_GB2312" w:hAnsi="仿宋_GB2312" w:eastAsia="仿宋_GB2312"/>
          <w:sz w:val="28"/>
          <w:szCs w:val="28"/>
          <w:lang w:eastAsia="zh-CN"/>
        </w:rPr>
        <w:t>[2023]90</w:t>
      </w:r>
      <w:r>
        <w:rPr>
          <w:rFonts w:hint="eastAsia" w:ascii="仿宋_GB2312" w:hAnsi="仿宋_GB2312" w:eastAsia="仿宋_GB2312"/>
          <w:sz w:val="28"/>
          <w:szCs w:val="28"/>
          <w:lang w:eastAsia="zh-CN"/>
        </w:rPr>
        <w:t>号）下达的计划任务进行的。标准第一起草</w:t>
      </w:r>
      <w:r>
        <w:rPr>
          <w:rFonts w:ascii="仿宋_GB2312" w:hAnsi="仿宋_GB2312" w:eastAsia="仿宋_GB2312"/>
          <w:sz w:val="28"/>
          <w:szCs w:val="28"/>
          <w:lang w:eastAsia="zh-CN"/>
        </w:rPr>
        <w:t>单位为中国科学院地理科学与资源研究所</w:t>
      </w:r>
      <w:r>
        <w:rPr>
          <w:rFonts w:hint="eastAsia" w:ascii="仿宋_GB2312" w:hAnsi="仿宋_GB2312" w:eastAsia="仿宋_GB2312"/>
          <w:sz w:val="28"/>
          <w:szCs w:val="28"/>
          <w:lang w:eastAsia="zh-CN"/>
        </w:rPr>
        <w:t>。</w:t>
      </w:r>
    </w:p>
    <w:p w14:paraId="25CA5713">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1.1.2 标准计划项目调整（如有，请写明申请调整的具体内容、理由和依据等）</w:t>
      </w:r>
    </w:p>
    <w:p w14:paraId="3A07F9D5">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w:t>
      </w:r>
    </w:p>
    <w:p w14:paraId="6C2E0CE8">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1.1.3 标准制修订的背景、必要性和重要意义</w:t>
      </w:r>
    </w:p>
    <w:p w14:paraId="121D9417">
      <w:pPr>
        <w:pStyle w:val="3"/>
        <w:spacing w:after="0" w:line="500" w:lineRule="exact"/>
        <w:ind w:left="0" w:leftChars="0"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粮食是人类赖以生存的物质基础，是人类生存发展相同的物质载体，是构建人类命运共同体的基础。粮食损失主要是由于技术、设施、设备、机械等客观因素带来的食物数量的损失，主要发生在粮食供应链的前端，如生产、收获、运输、储藏等环节。我国是一个人多地少的大国，粮食安全始终是治国理政的头等大事，是事关人类生存的根本性问题，但在粮食供应链上因数量损耗、品质下降而引起的可食用粮食数量的减少是个不可回避的问题。</w:t>
      </w:r>
    </w:p>
    <w:p w14:paraId="040C5850">
      <w:pPr>
        <w:pStyle w:val="3"/>
        <w:spacing w:after="0" w:line="500" w:lineRule="exact"/>
        <w:ind w:left="0" w:leftChars="0"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据联合国粮农组织统计，每年全球粮食从生产到零售全环节损失约占世界粮食产量的14%。小麦是我国三大主粮之一，常年种植面积在23380千公顷以上。近年来，我国小麦产量稳步增长，2021年产量达13694.4万吨。但有数据显示，我国粮食生产仅“三夏”小麦机收环节减损1个百分点，就可挽回25亿斤粮食，相当于新增300万亩面积的产量。从这个意义上说，减损就是增产，降耗就是增收。粮食浪费不仅仅意味着扔掉了大量的食物，更意味着生产这些食物所投入的大量水、能源、土地以及生产资料等无效消耗，以及温室气体额外的大量排放。因此，减少粮食损耗是保障粮食安全的重要途径，意义重大。</w:t>
      </w:r>
    </w:p>
    <w:p w14:paraId="1C6F3934">
      <w:pPr>
        <w:pStyle w:val="3"/>
        <w:spacing w:after="0" w:line="500" w:lineRule="exact"/>
        <w:ind w:left="0" w:leftChars="0"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减损就是增产，降耗就是增收。2023年的中央一号文件提出，坚持节约优先，落实粮食节约行动方案，深入推进产运储加消全链条节粮减损，强化粮食安全教育，反对食物浪费。为了减少小麦在生产、储存、运输、加工等关键环节的粮食损耗，制定了本文件小麦减损技术标准。</w:t>
      </w:r>
    </w:p>
    <w:p w14:paraId="77C481D1">
      <w:pPr>
        <w:widowControl w:val="0"/>
        <w:kinsoku/>
        <w:autoSpaceDE/>
        <w:autoSpaceDN/>
        <w:spacing w:line="500" w:lineRule="exact"/>
        <w:ind w:firstLine="562" w:firstLineChars="200"/>
        <w:jc w:val="both"/>
        <w:textAlignment w:val="auto"/>
        <w:rPr>
          <w:rFonts w:ascii="仿宋_GB2312" w:hAnsi="仿宋_GB2312" w:eastAsia="仿宋_GB2312" w:cs="仿宋_GB2312"/>
          <w:bCs/>
          <w:sz w:val="28"/>
          <w:szCs w:val="28"/>
          <w:lang w:eastAsia="zh-CN"/>
        </w:rPr>
      </w:pPr>
      <w:r>
        <w:rPr>
          <w:rFonts w:hint="eastAsia" w:ascii="仿宋_GB2312" w:hAnsi="仿宋_GB2312" w:eastAsia="仿宋_GB2312" w:cs="仿宋_GB2312"/>
          <w:b/>
          <w:sz w:val="28"/>
          <w:szCs w:val="28"/>
          <w:lang w:eastAsia="zh-CN"/>
        </w:rPr>
        <w:t>1.2 协作单位</w:t>
      </w:r>
      <w:r>
        <w:rPr>
          <w:rFonts w:hint="eastAsia" w:ascii="仿宋_GB2312" w:hAnsi="仿宋_GB2312" w:eastAsia="仿宋_GB2312" w:cs="仿宋_GB2312"/>
          <w:bCs/>
          <w:sz w:val="28"/>
          <w:szCs w:val="28"/>
          <w:lang w:eastAsia="zh-CN"/>
        </w:rPr>
        <w:t>（除第一起草单位外的其他起草单位）</w:t>
      </w:r>
    </w:p>
    <w:p w14:paraId="31792DFC">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国家粮食和物资储备局科学研究院</w:t>
      </w:r>
    </w:p>
    <w:p w14:paraId="5F6F75C8">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呼伦贝尔农垦特泥河农牧场有限公司</w:t>
      </w:r>
    </w:p>
    <w:p w14:paraId="01D47CC8">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中国粮食研究培训中心</w:t>
      </w:r>
    </w:p>
    <w:p w14:paraId="598DED9F">
      <w:pPr>
        <w:spacing w:line="500" w:lineRule="exact"/>
        <w:ind w:right="23" w:rightChars="11" w:firstLine="560" w:firstLineChars="200"/>
        <w:jc w:val="both"/>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华北水利水电学院</w:t>
      </w:r>
    </w:p>
    <w:p w14:paraId="6395E74B">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北京大学</w:t>
      </w:r>
    </w:p>
    <w:p w14:paraId="5D7692B2">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吉林大学</w:t>
      </w:r>
    </w:p>
    <w:p w14:paraId="3E738FD4">
      <w:pPr>
        <w:spacing w:line="500" w:lineRule="exact"/>
        <w:ind w:right="23" w:rightChars="11"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中国农业科学院农业经济与发展研究所</w:t>
      </w:r>
    </w:p>
    <w:p w14:paraId="585B257A">
      <w:pPr>
        <w:widowControl w:val="0"/>
        <w:kinsoku/>
        <w:autoSpaceDE/>
        <w:autoSpaceDN/>
        <w:spacing w:line="500" w:lineRule="exact"/>
        <w:ind w:firstLine="562" w:firstLineChars="200"/>
        <w:jc w:val="both"/>
        <w:textAlignment w:val="auto"/>
        <w:rPr>
          <w:rFonts w:ascii="仿宋_GB2312" w:hAnsi="仿宋_GB2312" w:eastAsia="仿宋_GB2312" w:cs="仿宋_GB2312"/>
          <w:bCs/>
          <w:sz w:val="28"/>
          <w:szCs w:val="28"/>
          <w:lang w:eastAsia="zh-CN"/>
        </w:rPr>
      </w:pPr>
      <w:r>
        <w:rPr>
          <w:rFonts w:hint="eastAsia" w:ascii="仿宋_GB2312" w:hAnsi="仿宋_GB2312" w:eastAsia="仿宋_GB2312" w:cs="仿宋_GB2312"/>
          <w:b/>
          <w:sz w:val="28"/>
          <w:szCs w:val="28"/>
          <w:lang w:eastAsia="zh-CN"/>
        </w:rPr>
        <w:t>1.3 主要工作过程</w:t>
      </w:r>
      <w:r>
        <w:rPr>
          <w:rFonts w:hint="eastAsia" w:ascii="仿宋_GB2312" w:hAnsi="仿宋_GB2312" w:eastAsia="仿宋_GB2312" w:cs="仿宋_GB2312"/>
          <w:bCs/>
          <w:sz w:val="28"/>
          <w:szCs w:val="28"/>
          <w:lang w:eastAsia="zh-CN"/>
        </w:rPr>
        <w:t>（应包括标准起草阶段、征求意见阶段、审查阶段、报批阶段等）</w:t>
      </w:r>
    </w:p>
    <w:p w14:paraId="7C4D2F9E">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Cs/>
          <w:sz w:val="28"/>
          <w:szCs w:val="28"/>
          <w:lang w:eastAsia="zh-CN"/>
        </w:rPr>
        <w:t>主要起草过程：</w:t>
      </w:r>
      <w:r>
        <w:rPr>
          <w:rFonts w:ascii="仿宋_GB2312" w:hAnsi="仿宋_GB2312" w:eastAsia="仿宋_GB2312" w:cs="仿宋_GB2312"/>
          <w:bCs/>
          <w:sz w:val="28"/>
          <w:szCs w:val="28"/>
          <w:lang w:eastAsia="zh-CN"/>
        </w:rPr>
        <w:t>2023</w:t>
      </w:r>
      <w:r>
        <w:rPr>
          <w:rFonts w:hint="eastAsia" w:ascii="仿宋_GB2312" w:hAnsi="仿宋_GB2312" w:eastAsia="仿宋_GB2312" w:cs="仿宋_GB2312"/>
          <w:bCs/>
          <w:sz w:val="28"/>
          <w:szCs w:val="28"/>
          <w:lang w:eastAsia="zh-CN"/>
        </w:rPr>
        <w:t>年</w:t>
      </w:r>
      <w:r>
        <w:rPr>
          <w:rFonts w:ascii="仿宋_GB2312" w:hAnsi="仿宋_GB2312" w:eastAsia="仿宋_GB2312" w:cs="仿宋_GB2312"/>
          <w:bCs/>
          <w:sz w:val="28"/>
          <w:szCs w:val="28"/>
          <w:lang w:eastAsia="zh-CN"/>
        </w:rPr>
        <w:t>12</w:t>
      </w:r>
      <w:r>
        <w:rPr>
          <w:rFonts w:hint="eastAsia" w:ascii="仿宋_GB2312" w:hAnsi="仿宋_GB2312" w:eastAsia="仿宋_GB2312" w:cs="仿宋_GB2312"/>
          <w:bCs/>
          <w:sz w:val="28"/>
          <w:szCs w:val="28"/>
          <w:lang w:eastAsia="zh-CN"/>
        </w:rPr>
        <w:t>月</w:t>
      </w:r>
      <w:r>
        <w:rPr>
          <w:rFonts w:ascii="仿宋_GB2312" w:hAnsi="仿宋_GB2312" w:eastAsia="仿宋_GB2312" w:cs="仿宋_GB2312"/>
          <w:bCs/>
          <w:sz w:val="28"/>
          <w:szCs w:val="28"/>
          <w:lang w:eastAsia="zh-CN"/>
        </w:rPr>
        <w:t>21</w:t>
      </w:r>
      <w:r>
        <w:rPr>
          <w:rFonts w:hint="eastAsia" w:ascii="仿宋_GB2312" w:hAnsi="仿宋_GB2312" w:eastAsia="仿宋_GB2312" w:cs="仿宋_GB2312"/>
          <w:bCs/>
          <w:sz w:val="28"/>
          <w:szCs w:val="28"/>
          <w:lang w:eastAsia="zh-CN"/>
        </w:rPr>
        <w:t>日收到立项通知后，立即成立</w:t>
      </w:r>
      <w:r>
        <w:rPr>
          <w:rFonts w:hint="eastAsia" w:ascii="仿宋_GB2312" w:hAnsi="仿宋_GB2312" w:eastAsia="仿宋_GB2312" w:cs="仿宋_GB2312"/>
          <w:sz w:val="28"/>
          <w:szCs w:val="28"/>
          <w:lang w:eastAsia="zh-CN"/>
        </w:rPr>
        <w:t>标准起草组</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sz w:val="28"/>
          <w:szCs w:val="28"/>
          <w:lang w:eastAsia="zh-CN"/>
        </w:rPr>
        <w:t>2</w:t>
      </w:r>
      <w:r>
        <w:rPr>
          <w:rFonts w:ascii="仿宋_GB2312" w:hAnsi="仿宋_GB2312" w:eastAsia="仿宋_GB2312" w:cs="仿宋_GB2312"/>
          <w:sz w:val="28"/>
          <w:szCs w:val="28"/>
          <w:lang w:eastAsia="zh-CN"/>
        </w:rPr>
        <w:t>024</w:t>
      </w:r>
      <w:r>
        <w:rPr>
          <w:rFonts w:hint="eastAsia" w:ascii="仿宋_GB2312" w:hAnsi="仿宋_GB2312" w:eastAsia="仿宋_GB2312" w:cs="仿宋_GB2312"/>
          <w:sz w:val="28"/>
          <w:szCs w:val="28"/>
          <w:lang w:eastAsia="zh-CN"/>
        </w:rPr>
        <w:t>年</w:t>
      </w:r>
      <w:r>
        <w:rPr>
          <w:rFonts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t>月完成初稿，2</w:t>
      </w:r>
      <w:r>
        <w:rPr>
          <w:rFonts w:ascii="仿宋_GB2312" w:hAnsi="仿宋_GB2312" w:eastAsia="仿宋_GB2312" w:cs="仿宋_GB2312"/>
          <w:sz w:val="28"/>
          <w:szCs w:val="28"/>
          <w:lang w:eastAsia="zh-CN"/>
        </w:rPr>
        <w:t>024</w:t>
      </w:r>
      <w:r>
        <w:rPr>
          <w:rFonts w:hint="eastAsia" w:ascii="仿宋_GB2312" w:hAnsi="仿宋_GB2312" w:eastAsia="仿宋_GB2312" w:cs="仿宋_GB2312"/>
          <w:sz w:val="28"/>
          <w:szCs w:val="28"/>
          <w:lang w:eastAsia="zh-CN"/>
        </w:rPr>
        <w:t>年</w:t>
      </w:r>
      <w:r>
        <w:rPr>
          <w:rFonts w:ascii="仿宋_GB2312" w:hAnsi="仿宋_GB2312" w:eastAsia="仿宋_GB2312" w:cs="仿宋_GB2312"/>
          <w:sz w:val="28"/>
          <w:szCs w:val="28"/>
          <w:lang w:eastAsia="zh-CN"/>
        </w:rPr>
        <w:t>6</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bCs/>
          <w:sz w:val="28"/>
          <w:szCs w:val="28"/>
          <w:lang w:eastAsia="zh-CN"/>
        </w:rPr>
        <w:t>在广泛调查研究和讨论的基础上，</w:t>
      </w:r>
      <w:r>
        <w:rPr>
          <w:rFonts w:hint="eastAsia" w:ascii="仿宋_GB2312" w:hAnsi="仿宋_GB2312" w:eastAsia="仿宋_GB2312" w:cs="仿宋_GB2312"/>
          <w:sz w:val="28"/>
          <w:szCs w:val="28"/>
          <w:lang w:eastAsia="zh-CN"/>
        </w:rPr>
        <w:t>完成标准征求意见稿。</w:t>
      </w:r>
    </w:p>
    <w:p w14:paraId="1A4B8BAA">
      <w:pPr>
        <w:widowControl w:val="0"/>
        <w:kinsoku/>
        <w:autoSpaceDE/>
        <w:autoSpaceDN/>
        <w:spacing w:line="500" w:lineRule="exact"/>
        <w:ind w:firstLine="562"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1.4 标准主要起草人及其所做的工作等</w:t>
      </w:r>
    </w:p>
    <w:tbl>
      <w:tblPr>
        <w:tblStyle w:val="7"/>
        <w:tblW w:w="49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418"/>
        <w:gridCol w:w="2692"/>
        <w:gridCol w:w="1274"/>
        <w:gridCol w:w="2843"/>
      </w:tblGrid>
      <w:tr w14:paraId="34F3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38" w:type="pct"/>
            <w:vAlign w:val="center"/>
          </w:tcPr>
          <w:p w14:paraId="48D73FB0">
            <w:pPr>
              <w:jc w:val="center"/>
              <w:rPr>
                <w:rFonts w:ascii="仿宋_GB2312" w:hAnsi="仿宋_GB2312" w:eastAsia="仿宋_GB2312"/>
                <w:b/>
                <w:sz w:val="28"/>
                <w:szCs w:val="28"/>
              </w:rPr>
            </w:pPr>
            <w:r>
              <w:rPr>
                <w:rFonts w:hint="eastAsia" w:ascii="仿宋_GB2312" w:hAnsi="仿宋_GB2312" w:eastAsia="仿宋_GB2312"/>
                <w:b/>
                <w:sz w:val="28"/>
                <w:szCs w:val="28"/>
              </w:rPr>
              <w:t>序号</w:t>
            </w:r>
          </w:p>
        </w:tc>
        <w:tc>
          <w:tcPr>
            <w:tcW w:w="786" w:type="pct"/>
            <w:vAlign w:val="center"/>
          </w:tcPr>
          <w:p w14:paraId="4046CA4C">
            <w:pPr>
              <w:jc w:val="center"/>
              <w:rPr>
                <w:rFonts w:ascii="仿宋_GB2312" w:hAnsi="仿宋_GB2312" w:eastAsia="仿宋_GB2312"/>
                <w:b/>
                <w:sz w:val="28"/>
                <w:szCs w:val="28"/>
              </w:rPr>
            </w:pPr>
            <w:r>
              <w:rPr>
                <w:rFonts w:hint="eastAsia" w:ascii="仿宋_GB2312" w:hAnsi="仿宋_GB2312" w:eastAsia="仿宋_GB2312"/>
                <w:b/>
                <w:sz w:val="28"/>
                <w:szCs w:val="28"/>
              </w:rPr>
              <w:t>姓名</w:t>
            </w:r>
          </w:p>
        </w:tc>
        <w:tc>
          <w:tcPr>
            <w:tcW w:w="1492" w:type="pct"/>
            <w:vAlign w:val="center"/>
          </w:tcPr>
          <w:p w14:paraId="356BB798">
            <w:pPr>
              <w:jc w:val="center"/>
              <w:rPr>
                <w:rFonts w:ascii="仿宋_GB2312" w:hAnsi="仿宋_GB2312" w:eastAsia="仿宋_GB2312"/>
                <w:b/>
                <w:sz w:val="28"/>
                <w:szCs w:val="28"/>
              </w:rPr>
            </w:pPr>
            <w:r>
              <w:rPr>
                <w:rFonts w:hint="eastAsia" w:ascii="仿宋_GB2312" w:hAnsi="仿宋_GB2312" w:eastAsia="仿宋_GB2312"/>
                <w:b/>
                <w:sz w:val="28"/>
                <w:szCs w:val="28"/>
              </w:rPr>
              <w:t>单位</w:t>
            </w:r>
          </w:p>
        </w:tc>
        <w:tc>
          <w:tcPr>
            <w:tcW w:w="706" w:type="pct"/>
            <w:vAlign w:val="center"/>
          </w:tcPr>
          <w:p w14:paraId="0776BC6F">
            <w:pPr>
              <w:jc w:val="center"/>
              <w:rPr>
                <w:rFonts w:ascii="仿宋_GB2312" w:hAnsi="仿宋_GB2312" w:eastAsia="仿宋_GB2312"/>
                <w:b/>
                <w:sz w:val="28"/>
                <w:szCs w:val="28"/>
              </w:rPr>
            </w:pPr>
            <w:r>
              <w:rPr>
                <w:rFonts w:hint="eastAsia" w:ascii="仿宋_GB2312" w:hAnsi="仿宋_GB2312" w:eastAsia="仿宋_GB2312"/>
                <w:b/>
                <w:sz w:val="28"/>
                <w:szCs w:val="28"/>
              </w:rPr>
              <w:t>职称</w:t>
            </w:r>
          </w:p>
        </w:tc>
        <w:tc>
          <w:tcPr>
            <w:tcW w:w="1576" w:type="pct"/>
            <w:vAlign w:val="center"/>
          </w:tcPr>
          <w:p w14:paraId="5FB0F15A">
            <w:pPr>
              <w:jc w:val="center"/>
              <w:rPr>
                <w:rFonts w:ascii="仿宋_GB2312" w:hAnsi="仿宋_GB2312" w:eastAsia="仿宋_GB2312"/>
                <w:b/>
                <w:sz w:val="28"/>
                <w:szCs w:val="28"/>
                <w:lang w:eastAsia="zh-CN"/>
              </w:rPr>
            </w:pPr>
            <w:r>
              <w:rPr>
                <w:rFonts w:hint="eastAsia" w:ascii="仿宋_GB2312" w:hAnsi="仿宋_GB2312" w:eastAsia="仿宋_GB2312"/>
                <w:b/>
                <w:sz w:val="28"/>
                <w:szCs w:val="28"/>
                <w:lang w:eastAsia="zh-CN"/>
              </w:rPr>
              <w:t>分工</w:t>
            </w:r>
          </w:p>
        </w:tc>
      </w:tr>
      <w:tr w14:paraId="4250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vAlign w:val="center"/>
          </w:tcPr>
          <w:p w14:paraId="70D20BCC">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86" w:type="pct"/>
            <w:vAlign w:val="center"/>
          </w:tcPr>
          <w:p w14:paraId="73D06308">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刘晓洁</w:t>
            </w:r>
          </w:p>
          <w:p w14:paraId="675634ED">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（主编）</w:t>
            </w:r>
          </w:p>
        </w:tc>
        <w:tc>
          <w:tcPr>
            <w:tcW w:w="1492" w:type="pct"/>
            <w:vAlign w:val="center"/>
          </w:tcPr>
          <w:p w14:paraId="7084417C">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中国科学院地理科学</w:t>
            </w:r>
          </w:p>
          <w:p w14:paraId="79779276">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与资源研究所</w:t>
            </w:r>
          </w:p>
        </w:tc>
        <w:tc>
          <w:tcPr>
            <w:tcW w:w="706" w:type="pct"/>
            <w:vAlign w:val="center"/>
          </w:tcPr>
          <w:p w14:paraId="18043D43">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研究员</w:t>
            </w:r>
          </w:p>
        </w:tc>
        <w:tc>
          <w:tcPr>
            <w:tcW w:w="1576" w:type="pct"/>
            <w:vAlign w:val="center"/>
          </w:tcPr>
          <w:p w14:paraId="432C856C">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制定指南的框架和结构</w:t>
            </w:r>
          </w:p>
        </w:tc>
      </w:tr>
      <w:tr w14:paraId="37A4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401259E3">
            <w:pPr>
              <w:jc w:val="center"/>
              <w:rPr>
                <w:rFonts w:hint="eastAsia"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2</w:t>
            </w:r>
          </w:p>
        </w:tc>
        <w:tc>
          <w:tcPr>
            <w:tcW w:w="786" w:type="pct"/>
            <w:shd w:val="clear" w:color="auto" w:fill="auto"/>
            <w:vAlign w:val="center"/>
          </w:tcPr>
          <w:p w14:paraId="0E1B150F">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val="en-US" w:eastAsia="zh-CN"/>
              </w:rPr>
              <w:t>郝秀平</w:t>
            </w:r>
          </w:p>
        </w:tc>
        <w:tc>
          <w:tcPr>
            <w:tcW w:w="1492" w:type="pct"/>
            <w:shd w:val="clear" w:color="auto" w:fill="auto"/>
            <w:vAlign w:val="center"/>
          </w:tcPr>
          <w:p w14:paraId="5010182D">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val="en-US" w:eastAsia="zh-CN"/>
              </w:rPr>
              <w:t>华北水利水电大学</w:t>
            </w:r>
          </w:p>
        </w:tc>
        <w:tc>
          <w:tcPr>
            <w:tcW w:w="706" w:type="pct"/>
            <w:vAlign w:val="center"/>
          </w:tcPr>
          <w:p w14:paraId="2A9F6F5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副教授</w:t>
            </w:r>
          </w:p>
        </w:tc>
        <w:tc>
          <w:tcPr>
            <w:tcW w:w="1576" w:type="pct"/>
            <w:vAlign w:val="center"/>
          </w:tcPr>
          <w:p w14:paraId="0C75A28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收集和分析已有指南和规范</w:t>
            </w:r>
          </w:p>
        </w:tc>
      </w:tr>
      <w:tr w14:paraId="197F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0B88B67E">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3</w:t>
            </w:r>
          </w:p>
        </w:tc>
        <w:tc>
          <w:tcPr>
            <w:tcW w:w="786" w:type="pct"/>
            <w:vAlign w:val="center"/>
          </w:tcPr>
          <w:p w14:paraId="66F3B475">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尹  君</w:t>
            </w:r>
          </w:p>
        </w:tc>
        <w:tc>
          <w:tcPr>
            <w:tcW w:w="1492" w:type="pct"/>
            <w:vAlign w:val="center"/>
          </w:tcPr>
          <w:p w14:paraId="2F9DAB1A">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国家粮食和物资储备局</w:t>
            </w:r>
          </w:p>
          <w:p w14:paraId="749B3DEB">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科学研究院</w:t>
            </w:r>
          </w:p>
        </w:tc>
        <w:tc>
          <w:tcPr>
            <w:tcW w:w="706" w:type="pct"/>
            <w:vAlign w:val="center"/>
          </w:tcPr>
          <w:p w14:paraId="3EEB56FA">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研究员</w:t>
            </w:r>
          </w:p>
        </w:tc>
        <w:tc>
          <w:tcPr>
            <w:tcW w:w="1576" w:type="pct"/>
            <w:vAlign w:val="center"/>
          </w:tcPr>
          <w:p w14:paraId="3DF11C2F">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收集和分析已有指南和规范</w:t>
            </w:r>
          </w:p>
        </w:tc>
      </w:tr>
      <w:tr w14:paraId="1A41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7F6F654D">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4</w:t>
            </w:r>
          </w:p>
        </w:tc>
        <w:tc>
          <w:tcPr>
            <w:tcW w:w="786" w:type="pct"/>
            <w:shd w:val="clear" w:color="auto" w:fill="auto"/>
            <w:vAlign w:val="center"/>
          </w:tcPr>
          <w:p w14:paraId="6A27AEDA">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闫</w:t>
            </w:r>
            <w:r>
              <w:rPr>
                <w:rFonts w:hint="eastAsia"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rPr>
              <w:t>丹</w:t>
            </w:r>
          </w:p>
        </w:tc>
        <w:tc>
          <w:tcPr>
            <w:tcW w:w="1492" w:type="pct"/>
            <w:shd w:val="clear" w:color="auto" w:fill="auto"/>
            <w:vAlign w:val="center"/>
          </w:tcPr>
          <w:p w14:paraId="6B514F58">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郑州大学</w:t>
            </w:r>
          </w:p>
        </w:tc>
        <w:tc>
          <w:tcPr>
            <w:tcW w:w="706" w:type="pct"/>
            <w:shd w:val="clear" w:color="auto" w:fill="auto"/>
            <w:vAlign w:val="center"/>
          </w:tcPr>
          <w:p w14:paraId="1A431DC1">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副教授</w:t>
            </w:r>
          </w:p>
        </w:tc>
        <w:tc>
          <w:tcPr>
            <w:tcW w:w="1576" w:type="pct"/>
            <w:shd w:val="clear" w:color="auto" w:fill="auto"/>
            <w:vAlign w:val="center"/>
          </w:tcPr>
          <w:p w14:paraId="740364DD">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实地调研，采集和处理减损相关数据</w:t>
            </w:r>
          </w:p>
        </w:tc>
      </w:tr>
      <w:tr w14:paraId="7375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18062A6F">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5</w:t>
            </w:r>
          </w:p>
        </w:tc>
        <w:tc>
          <w:tcPr>
            <w:tcW w:w="786" w:type="pct"/>
            <w:shd w:val="clear" w:color="auto" w:fill="auto"/>
            <w:vAlign w:val="center"/>
          </w:tcPr>
          <w:p w14:paraId="69ACC88C">
            <w:pPr>
              <w:jc w:val="center"/>
              <w:rPr>
                <w:rFonts w:hint="default"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唐</w:t>
            </w:r>
            <w:r>
              <w:rPr>
                <w:rFonts w:hint="eastAsia"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rPr>
              <w:t>芳</w:t>
            </w:r>
          </w:p>
        </w:tc>
        <w:tc>
          <w:tcPr>
            <w:tcW w:w="1492" w:type="pct"/>
            <w:shd w:val="clear" w:color="auto" w:fill="auto"/>
            <w:vAlign w:val="center"/>
          </w:tcPr>
          <w:p w14:paraId="7045A295">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国家粮食和物资储备局</w:t>
            </w:r>
          </w:p>
          <w:p w14:paraId="02EBF726">
            <w:pPr>
              <w:jc w:val="center"/>
              <w:rPr>
                <w:rFonts w:hint="default"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科学研究院</w:t>
            </w:r>
          </w:p>
        </w:tc>
        <w:tc>
          <w:tcPr>
            <w:tcW w:w="706" w:type="pct"/>
            <w:shd w:val="clear" w:color="auto" w:fill="auto"/>
            <w:vAlign w:val="center"/>
          </w:tcPr>
          <w:p w14:paraId="258F0C3D">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副研究员</w:t>
            </w:r>
          </w:p>
        </w:tc>
        <w:tc>
          <w:tcPr>
            <w:tcW w:w="1576" w:type="pct"/>
            <w:shd w:val="clear" w:color="auto" w:fill="auto"/>
            <w:vAlign w:val="center"/>
          </w:tcPr>
          <w:p w14:paraId="0A38099D">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收集和分析国内外有关小麦减损的相关文献和研究成果</w:t>
            </w:r>
          </w:p>
        </w:tc>
      </w:tr>
      <w:tr w14:paraId="5A88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7F2975B0">
            <w:pPr>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6</w:t>
            </w:r>
          </w:p>
        </w:tc>
        <w:tc>
          <w:tcPr>
            <w:tcW w:w="786" w:type="pct"/>
            <w:shd w:val="clear" w:color="auto" w:fill="auto"/>
            <w:vAlign w:val="center"/>
          </w:tcPr>
          <w:p w14:paraId="3964087E">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牟春雨</w:t>
            </w:r>
          </w:p>
        </w:tc>
        <w:tc>
          <w:tcPr>
            <w:tcW w:w="1492" w:type="pct"/>
            <w:shd w:val="clear" w:color="auto" w:fill="auto"/>
            <w:vAlign w:val="center"/>
          </w:tcPr>
          <w:p w14:paraId="495AC073">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呼伦贝尔农垦特泥河</w:t>
            </w:r>
          </w:p>
          <w:p w14:paraId="5962BEE9">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农牧场有限公司</w:t>
            </w:r>
          </w:p>
        </w:tc>
        <w:tc>
          <w:tcPr>
            <w:tcW w:w="706" w:type="pct"/>
            <w:shd w:val="clear" w:color="auto" w:fill="auto"/>
            <w:vAlign w:val="center"/>
          </w:tcPr>
          <w:p w14:paraId="5E6CDFFE">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农艺师</w:t>
            </w:r>
          </w:p>
        </w:tc>
        <w:tc>
          <w:tcPr>
            <w:tcW w:w="1576" w:type="pct"/>
            <w:shd w:val="clear" w:color="auto" w:fill="auto"/>
            <w:vAlign w:val="center"/>
          </w:tcPr>
          <w:p w14:paraId="5566007E">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采集小麦减损相关数据，包括产区、种植面积、减损原因等</w:t>
            </w:r>
          </w:p>
        </w:tc>
      </w:tr>
      <w:tr w14:paraId="5120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0D4CD86A">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7</w:t>
            </w:r>
          </w:p>
        </w:tc>
        <w:tc>
          <w:tcPr>
            <w:tcW w:w="786" w:type="pct"/>
            <w:shd w:val="clear" w:color="auto" w:fill="auto"/>
            <w:vAlign w:val="center"/>
          </w:tcPr>
          <w:p w14:paraId="3BA07676">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吕晓鑫</w:t>
            </w:r>
          </w:p>
        </w:tc>
        <w:tc>
          <w:tcPr>
            <w:tcW w:w="1492" w:type="pct"/>
            <w:shd w:val="clear" w:color="auto" w:fill="auto"/>
            <w:vAlign w:val="center"/>
          </w:tcPr>
          <w:p w14:paraId="6CFE3770">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呼伦贝尔农垦特泥河</w:t>
            </w:r>
          </w:p>
          <w:p w14:paraId="6D974AB6">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农牧场有限公司</w:t>
            </w:r>
          </w:p>
        </w:tc>
        <w:tc>
          <w:tcPr>
            <w:tcW w:w="706" w:type="pct"/>
            <w:shd w:val="clear" w:color="auto" w:fill="auto"/>
            <w:vAlign w:val="center"/>
          </w:tcPr>
          <w:p w14:paraId="712DCD1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农艺师</w:t>
            </w:r>
          </w:p>
        </w:tc>
        <w:tc>
          <w:tcPr>
            <w:tcW w:w="1576" w:type="pct"/>
            <w:shd w:val="clear" w:color="auto" w:fill="auto"/>
            <w:vAlign w:val="center"/>
          </w:tcPr>
          <w:p w14:paraId="3B3F433A">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小麦生产环节文本初稿撰写</w:t>
            </w:r>
          </w:p>
        </w:tc>
      </w:tr>
      <w:tr w14:paraId="371F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63636B56">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8</w:t>
            </w:r>
          </w:p>
        </w:tc>
        <w:tc>
          <w:tcPr>
            <w:tcW w:w="786" w:type="pct"/>
            <w:shd w:val="clear" w:color="auto" w:fill="auto"/>
            <w:vAlign w:val="center"/>
          </w:tcPr>
          <w:p w14:paraId="66E50EC5">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李慧强</w:t>
            </w:r>
          </w:p>
        </w:tc>
        <w:tc>
          <w:tcPr>
            <w:tcW w:w="1492" w:type="pct"/>
            <w:shd w:val="clear" w:color="auto" w:fill="auto"/>
            <w:vAlign w:val="center"/>
          </w:tcPr>
          <w:p w14:paraId="3A52249F">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中国粮食研究培训中心</w:t>
            </w:r>
          </w:p>
        </w:tc>
        <w:tc>
          <w:tcPr>
            <w:tcW w:w="706" w:type="pct"/>
            <w:shd w:val="clear" w:color="auto" w:fill="auto"/>
            <w:vAlign w:val="center"/>
          </w:tcPr>
          <w:p w14:paraId="335C2E16">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副研究员</w:t>
            </w:r>
          </w:p>
        </w:tc>
        <w:tc>
          <w:tcPr>
            <w:tcW w:w="1576" w:type="pct"/>
            <w:shd w:val="clear" w:color="auto" w:fill="auto"/>
            <w:vAlign w:val="center"/>
          </w:tcPr>
          <w:p w14:paraId="19A234BD">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定义小麦减损范围，包括影响和原因</w:t>
            </w:r>
          </w:p>
        </w:tc>
      </w:tr>
      <w:tr w14:paraId="5E6C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34867E6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9</w:t>
            </w:r>
          </w:p>
        </w:tc>
        <w:tc>
          <w:tcPr>
            <w:tcW w:w="786" w:type="pct"/>
            <w:shd w:val="clear" w:color="auto" w:fill="auto"/>
            <w:vAlign w:val="center"/>
          </w:tcPr>
          <w:p w14:paraId="1E08E502">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刘</w:t>
            </w:r>
            <w:r>
              <w:rPr>
                <w:rFonts w:hint="eastAsia"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rPr>
              <w:t>刚</w:t>
            </w:r>
          </w:p>
        </w:tc>
        <w:tc>
          <w:tcPr>
            <w:tcW w:w="1492" w:type="pct"/>
            <w:shd w:val="clear" w:color="auto" w:fill="auto"/>
            <w:vAlign w:val="center"/>
          </w:tcPr>
          <w:p w14:paraId="4726117E">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北京大学</w:t>
            </w:r>
          </w:p>
        </w:tc>
        <w:tc>
          <w:tcPr>
            <w:tcW w:w="706" w:type="pct"/>
            <w:shd w:val="clear" w:color="auto" w:fill="auto"/>
            <w:vAlign w:val="center"/>
          </w:tcPr>
          <w:p w14:paraId="0A3C22F8">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教授</w:t>
            </w:r>
          </w:p>
        </w:tc>
        <w:tc>
          <w:tcPr>
            <w:tcW w:w="1576" w:type="pct"/>
            <w:shd w:val="clear" w:color="auto" w:fill="auto"/>
            <w:vAlign w:val="center"/>
          </w:tcPr>
          <w:p w14:paraId="57A3B580">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数据分析，提出减损具体监测指标</w:t>
            </w:r>
          </w:p>
        </w:tc>
      </w:tr>
      <w:tr w14:paraId="37E0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28B124FC">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10</w:t>
            </w:r>
          </w:p>
        </w:tc>
        <w:tc>
          <w:tcPr>
            <w:tcW w:w="786" w:type="pct"/>
            <w:shd w:val="clear" w:color="auto" w:fill="auto"/>
            <w:vAlign w:val="center"/>
          </w:tcPr>
          <w:p w14:paraId="63EE24B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吴文福</w:t>
            </w:r>
          </w:p>
        </w:tc>
        <w:tc>
          <w:tcPr>
            <w:tcW w:w="1492" w:type="pct"/>
            <w:shd w:val="clear" w:color="auto" w:fill="auto"/>
            <w:vAlign w:val="center"/>
          </w:tcPr>
          <w:p w14:paraId="087695D7">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吉林大学</w:t>
            </w:r>
          </w:p>
        </w:tc>
        <w:tc>
          <w:tcPr>
            <w:tcW w:w="706" w:type="pct"/>
            <w:shd w:val="clear" w:color="auto" w:fill="auto"/>
            <w:vAlign w:val="center"/>
          </w:tcPr>
          <w:p w14:paraId="663C8E2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教授</w:t>
            </w:r>
          </w:p>
        </w:tc>
        <w:tc>
          <w:tcPr>
            <w:tcW w:w="1576" w:type="pct"/>
            <w:shd w:val="clear" w:color="auto" w:fill="auto"/>
            <w:vAlign w:val="center"/>
          </w:tcPr>
          <w:p w14:paraId="4DF40698">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实地调研，采集和处理减损相关数据</w:t>
            </w:r>
          </w:p>
        </w:tc>
      </w:tr>
      <w:tr w14:paraId="04F2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shd w:val="clear" w:color="auto" w:fill="auto"/>
            <w:vAlign w:val="center"/>
          </w:tcPr>
          <w:p w14:paraId="68CF6D4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lang w:eastAsia="zh-CN"/>
              </w:rPr>
              <w:t>11</w:t>
            </w:r>
          </w:p>
        </w:tc>
        <w:tc>
          <w:tcPr>
            <w:tcW w:w="786" w:type="pct"/>
            <w:shd w:val="clear" w:color="auto" w:fill="auto"/>
            <w:vAlign w:val="center"/>
          </w:tcPr>
          <w:p w14:paraId="003EA1AB">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麻吉亮</w:t>
            </w:r>
          </w:p>
        </w:tc>
        <w:tc>
          <w:tcPr>
            <w:tcW w:w="1492" w:type="pct"/>
            <w:shd w:val="clear" w:color="auto" w:fill="auto"/>
            <w:vAlign w:val="center"/>
          </w:tcPr>
          <w:p w14:paraId="577978F1">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中国农业科学院农业</w:t>
            </w:r>
          </w:p>
          <w:p w14:paraId="2B10D5F4">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经济与发展研究所</w:t>
            </w:r>
          </w:p>
        </w:tc>
        <w:tc>
          <w:tcPr>
            <w:tcW w:w="706" w:type="pct"/>
            <w:shd w:val="clear" w:color="auto" w:fill="auto"/>
            <w:vAlign w:val="center"/>
          </w:tcPr>
          <w:p w14:paraId="350EA66D">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研究员</w:t>
            </w:r>
          </w:p>
        </w:tc>
        <w:tc>
          <w:tcPr>
            <w:tcW w:w="1576" w:type="pct"/>
            <w:shd w:val="clear" w:color="auto" w:fill="auto"/>
            <w:vAlign w:val="center"/>
          </w:tcPr>
          <w:p w14:paraId="47293107">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小麦产后环节文本初稿撰写</w:t>
            </w:r>
          </w:p>
        </w:tc>
      </w:tr>
      <w:tr w14:paraId="4F62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vAlign w:val="center"/>
          </w:tcPr>
          <w:p w14:paraId="05E75209">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786" w:type="pct"/>
            <w:shd w:val="clear" w:color="auto" w:fill="auto"/>
            <w:vAlign w:val="center"/>
          </w:tcPr>
          <w:p w14:paraId="06CB06E2">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周</w:t>
            </w:r>
            <w:r>
              <w:rPr>
                <w:rFonts w:hint="eastAsia"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rPr>
              <w:t>慧</w:t>
            </w:r>
          </w:p>
        </w:tc>
        <w:tc>
          <w:tcPr>
            <w:tcW w:w="1492" w:type="pct"/>
            <w:shd w:val="clear" w:color="auto" w:fill="auto"/>
            <w:vAlign w:val="center"/>
          </w:tcPr>
          <w:p w14:paraId="21CA12EC">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中国农业科学院农业</w:t>
            </w:r>
          </w:p>
          <w:p w14:paraId="60DEEDFC">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经济与发展研究所</w:t>
            </w:r>
          </w:p>
        </w:tc>
        <w:tc>
          <w:tcPr>
            <w:tcW w:w="706" w:type="pct"/>
            <w:shd w:val="clear" w:color="auto" w:fill="auto"/>
            <w:vAlign w:val="center"/>
          </w:tcPr>
          <w:p w14:paraId="503BA501">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副研究员</w:t>
            </w:r>
          </w:p>
        </w:tc>
        <w:tc>
          <w:tcPr>
            <w:tcW w:w="1576" w:type="pct"/>
            <w:shd w:val="clear" w:color="auto" w:fill="auto"/>
            <w:vAlign w:val="center"/>
          </w:tcPr>
          <w:p w14:paraId="341F2145">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小麦减损监测与管理环节文本初稿撰写</w:t>
            </w:r>
          </w:p>
        </w:tc>
      </w:tr>
      <w:tr w14:paraId="7EA7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vAlign w:val="center"/>
          </w:tcPr>
          <w:p w14:paraId="537EF51E">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w:t>
            </w:r>
          </w:p>
        </w:tc>
        <w:tc>
          <w:tcPr>
            <w:tcW w:w="1418" w:type="dxa"/>
            <w:shd w:val="clear" w:color="auto" w:fill="auto"/>
            <w:vAlign w:val="center"/>
          </w:tcPr>
          <w:p w14:paraId="024C61EE">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张海燕</w:t>
            </w:r>
          </w:p>
          <w:p w14:paraId="4C5EE442">
            <w:pPr>
              <w:jc w:val="center"/>
              <w:rPr>
                <w:rFonts w:ascii="仿宋_GB2312" w:hAnsi="仿宋_GB2312" w:eastAsia="仿宋_GB2312" w:cs="仿宋_GB2312"/>
                <w:snapToGrid w:val="0"/>
                <w:color w:val="000000"/>
                <w:sz w:val="24"/>
                <w:szCs w:val="24"/>
                <w:lang w:val="en-US" w:eastAsia="en-US" w:bidi="ar-SA"/>
              </w:rPr>
            </w:pPr>
          </w:p>
        </w:tc>
        <w:tc>
          <w:tcPr>
            <w:tcW w:w="2692" w:type="dxa"/>
            <w:shd w:val="clear" w:color="auto" w:fill="auto"/>
            <w:vAlign w:val="center"/>
          </w:tcPr>
          <w:p w14:paraId="29CC091D">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中国科学院地理科学</w:t>
            </w:r>
          </w:p>
          <w:p w14:paraId="0F3C7B91">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与资源研究所</w:t>
            </w:r>
          </w:p>
        </w:tc>
        <w:tc>
          <w:tcPr>
            <w:tcW w:w="1274" w:type="dxa"/>
            <w:shd w:val="clear" w:color="auto" w:fill="auto"/>
            <w:vAlign w:val="center"/>
          </w:tcPr>
          <w:p w14:paraId="2B939C64">
            <w:pPr>
              <w:jc w:val="center"/>
              <w:rPr>
                <w:rFonts w:ascii="仿宋_GB2312" w:hAnsi="仿宋_GB2312" w:eastAsia="仿宋_GB2312" w:cs="仿宋_GB2312"/>
                <w:snapToGrid w:val="0"/>
                <w:color w:val="000000"/>
                <w:sz w:val="24"/>
                <w:szCs w:val="24"/>
                <w:lang w:val="en-US" w:eastAsia="en-US" w:bidi="ar-SA"/>
              </w:rPr>
            </w:pPr>
            <w:r>
              <w:rPr>
                <w:rFonts w:hint="eastAsia" w:ascii="仿宋_GB2312" w:hAnsi="仿宋_GB2312" w:eastAsia="仿宋_GB2312" w:cs="仿宋_GB2312"/>
                <w:sz w:val="24"/>
                <w:szCs w:val="24"/>
              </w:rPr>
              <w:t>副研究员</w:t>
            </w:r>
          </w:p>
        </w:tc>
        <w:tc>
          <w:tcPr>
            <w:tcW w:w="2843" w:type="dxa"/>
            <w:shd w:val="clear" w:color="auto" w:fill="auto"/>
            <w:vAlign w:val="center"/>
          </w:tcPr>
          <w:p w14:paraId="73A4612E">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技术细节审查，确保指南符合行业标准、语言通顺、易于理解</w:t>
            </w:r>
          </w:p>
        </w:tc>
      </w:tr>
      <w:tr w14:paraId="56E7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vAlign w:val="center"/>
          </w:tcPr>
          <w:p w14:paraId="60ADEF33">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w:t>
            </w:r>
          </w:p>
        </w:tc>
        <w:tc>
          <w:tcPr>
            <w:tcW w:w="786" w:type="pct"/>
            <w:shd w:val="clear" w:color="auto" w:fill="auto"/>
            <w:vAlign w:val="center"/>
          </w:tcPr>
          <w:p w14:paraId="0BE71435">
            <w:pPr>
              <w:jc w:val="both"/>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napToGrid w:val="0"/>
                <w:color w:val="000000"/>
                <w:sz w:val="24"/>
                <w:szCs w:val="24"/>
                <w:lang w:val="en-US" w:eastAsia="zh-CN" w:bidi="ar-SA"/>
              </w:rPr>
              <w:t>张洪源</w:t>
            </w:r>
          </w:p>
          <w:p w14:paraId="2E0AEBBE">
            <w:pPr>
              <w:jc w:val="both"/>
              <w:rPr>
                <w:rFonts w:hint="default"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rPr>
              <w:t>（联络员）</w:t>
            </w:r>
          </w:p>
        </w:tc>
        <w:tc>
          <w:tcPr>
            <w:tcW w:w="1492" w:type="pct"/>
            <w:shd w:val="clear" w:color="auto" w:fill="auto"/>
            <w:vAlign w:val="center"/>
          </w:tcPr>
          <w:p w14:paraId="6845692D">
            <w:pPr>
              <w:jc w:val="center"/>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中国科学院地理科学</w:t>
            </w:r>
          </w:p>
          <w:p w14:paraId="5180D862">
            <w:pPr>
              <w:jc w:val="center"/>
              <w:rPr>
                <w:rFonts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z w:val="24"/>
                <w:szCs w:val="24"/>
                <w:lang w:eastAsia="zh-CN"/>
              </w:rPr>
              <w:t>与资源研究所</w:t>
            </w:r>
          </w:p>
        </w:tc>
        <w:tc>
          <w:tcPr>
            <w:tcW w:w="706" w:type="pct"/>
            <w:shd w:val="clear" w:color="auto" w:fill="auto"/>
            <w:vAlign w:val="center"/>
          </w:tcPr>
          <w:p w14:paraId="1F3DAF56">
            <w:pPr>
              <w:jc w:val="center"/>
              <w:rPr>
                <w:rFonts w:hint="default"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napToGrid w:val="0"/>
                <w:color w:val="000000"/>
                <w:sz w:val="24"/>
                <w:szCs w:val="24"/>
                <w:lang w:val="en-US" w:eastAsia="zh-CN" w:bidi="ar-SA"/>
              </w:rPr>
              <w:t>科研助理</w:t>
            </w:r>
          </w:p>
        </w:tc>
        <w:tc>
          <w:tcPr>
            <w:tcW w:w="1576" w:type="pct"/>
            <w:shd w:val="clear" w:color="auto" w:fill="auto"/>
            <w:vAlign w:val="center"/>
          </w:tcPr>
          <w:p w14:paraId="0DD8A87E">
            <w:pPr>
              <w:jc w:val="center"/>
              <w:rPr>
                <w:rFonts w:hint="default"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snapToGrid w:val="0"/>
                <w:color w:val="000000"/>
                <w:sz w:val="24"/>
                <w:szCs w:val="24"/>
                <w:lang w:val="en-US" w:eastAsia="zh-CN" w:bidi="ar-SA"/>
              </w:rPr>
              <w:t>日常协调</w:t>
            </w:r>
          </w:p>
        </w:tc>
      </w:tr>
    </w:tbl>
    <w:p w14:paraId="2CFBF665">
      <w:pPr>
        <w:widowControl w:val="0"/>
        <w:kinsoku/>
        <w:autoSpaceDE/>
        <w:autoSpaceDN/>
        <w:spacing w:line="500" w:lineRule="exact"/>
        <w:jc w:val="both"/>
        <w:textAlignment w:val="auto"/>
        <w:rPr>
          <w:rFonts w:ascii="仿宋_GB2312" w:hAnsi="仿宋_GB2312" w:eastAsia="仿宋_GB2312"/>
          <w:sz w:val="28"/>
          <w:szCs w:val="28"/>
          <w:lang w:eastAsia="zh-CN"/>
        </w:rPr>
      </w:pPr>
    </w:p>
    <w:p w14:paraId="53E51F69">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2.标准编制原则和确定标准主要内容</w:t>
      </w:r>
      <w:r>
        <w:rPr>
          <w:rFonts w:hint="eastAsia" w:ascii="仿宋_GB2312" w:hAnsi="仿宋_GB2312" w:eastAsia="仿宋_GB2312" w:cs="仿宋_GB2312"/>
          <w:sz w:val="28"/>
          <w:szCs w:val="28"/>
          <w:lang w:eastAsia="zh-CN"/>
        </w:rPr>
        <w:t>（如技术指标、参数、公式、性能要求、试验方法、检验规则等）</w:t>
      </w:r>
      <w:r>
        <w:rPr>
          <w:rFonts w:hint="eastAsia" w:ascii="仿宋_GB2312" w:hAnsi="仿宋_GB2312" w:eastAsia="仿宋_GB2312" w:cs="仿宋_GB2312"/>
          <w:b/>
          <w:sz w:val="28"/>
          <w:szCs w:val="28"/>
          <w:lang w:eastAsia="zh-CN"/>
        </w:rPr>
        <w:t>的论据</w:t>
      </w:r>
      <w:r>
        <w:rPr>
          <w:rFonts w:hint="eastAsia" w:ascii="仿宋_GB2312" w:hAnsi="仿宋_GB2312" w:eastAsia="仿宋_GB2312" w:cs="仿宋_GB2312"/>
          <w:sz w:val="28"/>
          <w:szCs w:val="28"/>
          <w:lang w:eastAsia="zh-CN"/>
        </w:rPr>
        <w:t>（包括试验、统计数据）。修订标准时，应列出与原标准的主要差异和水平对比</w:t>
      </w:r>
    </w:p>
    <w:p w14:paraId="06394ABA">
      <w:pPr>
        <w:spacing w:line="540" w:lineRule="exact"/>
        <w:ind w:firstLine="562" w:firstLineChars="200"/>
        <w:rPr>
          <w:rFonts w:ascii="仿宋_GB2312" w:hAnsi="仿宋_GB2312" w:eastAsia="仿宋_GB2312"/>
          <w:b/>
          <w:bCs/>
          <w:sz w:val="28"/>
          <w:szCs w:val="28"/>
          <w:lang w:eastAsia="zh-CN"/>
        </w:rPr>
      </w:pPr>
      <w:r>
        <w:rPr>
          <w:rFonts w:hint="eastAsia" w:ascii="仿宋_GB2312" w:hAnsi="仿宋_GB2312" w:eastAsia="仿宋_GB2312"/>
          <w:b/>
          <w:bCs/>
          <w:sz w:val="28"/>
          <w:szCs w:val="28"/>
          <w:lang w:eastAsia="zh-CN"/>
        </w:rPr>
        <w:t>2</w:t>
      </w:r>
      <w:r>
        <w:rPr>
          <w:rFonts w:ascii="仿宋_GB2312" w:hAnsi="仿宋_GB2312" w:eastAsia="仿宋_GB2312"/>
          <w:b/>
          <w:bCs/>
          <w:sz w:val="28"/>
          <w:szCs w:val="28"/>
          <w:lang w:eastAsia="zh-CN"/>
        </w:rPr>
        <w:t xml:space="preserve">.1 </w:t>
      </w:r>
      <w:r>
        <w:rPr>
          <w:rFonts w:hint="eastAsia" w:ascii="仿宋_GB2312" w:hAnsi="仿宋_GB2312" w:eastAsia="仿宋_GB2312"/>
          <w:b/>
          <w:bCs/>
          <w:sz w:val="28"/>
          <w:szCs w:val="28"/>
          <w:lang w:eastAsia="zh-CN"/>
        </w:rPr>
        <w:t>标准编制原则</w:t>
      </w:r>
    </w:p>
    <w:p w14:paraId="65766421">
      <w:pPr>
        <w:spacing w:line="500" w:lineRule="exact"/>
        <w:ind w:firstLine="560" w:firstLineChars="200"/>
        <w:jc w:val="both"/>
        <w:rPr>
          <w:rFonts w:ascii="仿宋_GB2312" w:hAnsi="仿宋_GB2312" w:eastAsia="仿宋_GB2312"/>
          <w:sz w:val="28"/>
          <w:szCs w:val="28"/>
          <w:lang w:eastAsia="zh-CN"/>
        </w:rPr>
      </w:pPr>
      <w:bookmarkStart w:id="2" w:name="OLE_LINK2"/>
      <w:bookmarkStart w:id="3" w:name="OLE_LINK1"/>
      <w:r>
        <w:rPr>
          <w:rFonts w:hint="eastAsia" w:ascii="仿宋_GB2312" w:hAnsi="仿宋_GB2312" w:eastAsia="仿宋_GB2312"/>
          <w:sz w:val="28"/>
          <w:szCs w:val="28"/>
          <w:lang w:eastAsia="zh-CN"/>
        </w:rPr>
        <w:t>2</w:t>
      </w:r>
      <w:r>
        <w:rPr>
          <w:rFonts w:ascii="仿宋_GB2312" w:hAnsi="仿宋_GB2312" w:eastAsia="仿宋_GB2312"/>
          <w:sz w:val="28"/>
          <w:szCs w:val="28"/>
          <w:lang w:eastAsia="zh-CN"/>
        </w:rPr>
        <w:t xml:space="preserve">.1.1 </w:t>
      </w:r>
      <w:r>
        <w:rPr>
          <w:rFonts w:hint="eastAsia" w:ascii="仿宋_GB2312" w:hAnsi="仿宋_GB2312" w:eastAsia="仿宋_GB2312"/>
          <w:sz w:val="28"/>
          <w:szCs w:val="28"/>
          <w:lang w:eastAsia="zh-CN"/>
        </w:rPr>
        <w:t>问题导向</w:t>
      </w:r>
    </w:p>
    <w:p w14:paraId="274AE675">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坚持以问题为导向，针对小麦各个生产环节粮食减损的重点和难点问题，积极探索创新，推进减损措施完善。</w:t>
      </w:r>
    </w:p>
    <w:p w14:paraId="7CD39EAA">
      <w:pPr>
        <w:spacing w:line="500" w:lineRule="exact"/>
        <w:ind w:firstLine="560" w:firstLineChars="200"/>
        <w:jc w:val="both"/>
        <w:rPr>
          <w:rFonts w:ascii="仿宋_GB2312" w:hAnsi="仿宋_GB2312" w:eastAsia="仿宋_GB2312"/>
          <w:sz w:val="28"/>
          <w:szCs w:val="28"/>
          <w:lang w:eastAsia="zh-CN"/>
        </w:rPr>
      </w:pPr>
      <w:r>
        <w:rPr>
          <w:rFonts w:ascii="仿宋_GB2312" w:hAnsi="仿宋_GB2312" w:eastAsia="仿宋_GB2312"/>
          <w:sz w:val="28"/>
          <w:szCs w:val="28"/>
          <w:lang w:eastAsia="zh-CN"/>
        </w:rPr>
        <w:t xml:space="preserve">2.1.2 </w:t>
      </w:r>
      <w:r>
        <w:rPr>
          <w:rFonts w:hint="eastAsia" w:ascii="仿宋_GB2312" w:hAnsi="仿宋_GB2312" w:eastAsia="仿宋_GB2312"/>
          <w:sz w:val="28"/>
          <w:szCs w:val="28"/>
          <w:lang w:eastAsia="zh-CN"/>
        </w:rPr>
        <w:t>系统治理</w:t>
      </w:r>
    </w:p>
    <w:p w14:paraId="7554A747">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强调粮食生产过程全链条的减损，既要加强土地和种子等生产源头，也要做好田间管理，更要提升产后加工与利用水平。</w:t>
      </w:r>
    </w:p>
    <w:p w14:paraId="7585B72A">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2</w:t>
      </w:r>
      <w:r>
        <w:rPr>
          <w:rFonts w:ascii="仿宋_GB2312" w:hAnsi="仿宋_GB2312" w:eastAsia="仿宋_GB2312"/>
          <w:sz w:val="28"/>
          <w:szCs w:val="28"/>
          <w:lang w:eastAsia="zh-CN"/>
        </w:rPr>
        <w:t xml:space="preserve">.1.3 </w:t>
      </w:r>
      <w:r>
        <w:rPr>
          <w:rFonts w:hint="eastAsia" w:ascii="仿宋_GB2312" w:hAnsi="仿宋_GB2312" w:eastAsia="仿宋_GB2312"/>
          <w:sz w:val="28"/>
          <w:szCs w:val="28"/>
          <w:lang w:eastAsia="zh-CN"/>
        </w:rPr>
        <w:t>多措并举</w:t>
      </w:r>
    </w:p>
    <w:p w14:paraId="12220E06">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大力推进节粮减损科技创新，提升农机精细化水平，拓展农机社会化服务能力，促进农机农艺有机融合，切实抓好小麦全链条减损。</w:t>
      </w:r>
    </w:p>
    <w:p w14:paraId="442990EC">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2</w:t>
      </w:r>
      <w:r>
        <w:rPr>
          <w:rFonts w:ascii="仿宋_GB2312" w:hAnsi="仿宋_GB2312" w:eastAsia="仿宋_GB2312"/>
          <w:sz w:val="28"/>
          <w:szCs w:val="28"/>
          <w:lang w:eastAsia="zh-CN"/>
        </w:rPr>
        <w:t xml:space="preserve">.1.4 </w:t>
      </w:r>
      <w:r>
        <w:rPr>
          <w:rFonts w:hint="eastAsia" w:ascii="仿宋_GB2312" w:hAnsi="仿宋_GB2312" w:eastAsia="仿宋_GB2312"/>
          <w:sz w:val="28"/>
          <w:szCs w:val="28"/>
          <w:lang w:eastAsia="zh-CN"/>
        </w:rPr>
        <w:t>精准施策</w:t>
      </w:r>
    </w:p>
    <w:p w14:paraId="3349B6AC">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要因地制宜，分地区、分环节制定技术指导意见和具体操作规范，</w:t>
      </w:r>
      <w:r>
        <w:rPr>
          <w:rFonts w:ascii="仿宋_GB2312" w:hAnsi="仿宋_GB2312" w:eastAsia="仿宋_GB2312"/>
          <w:sz w:val="28"/>
          <w:szCs w:val="28"/>
          <w:lang w:eastAsia="zh-CN"/>
        </w:rPr>
        <w:t>精细指导</w:t>
      </w:r>
      <w:r>
        <w:rPr>
          <w:rFonts w:hint="eastAsia" w:ascii="仿宋_GB2312" w:hAnsi="仿宋_GB2312" w:eastAsia="仿宋_GB2312"/>
          <w:sz w:val="28"/>
          <w:szCs w:val="28"/>
          <w:lang w:eastAsia="zh-CN"/>
        </w:rPr>
        <w:t>、</w:t>
      </w:r>
      <w:r>
        <w:rPr>
          <w:rFonts w:ascii="仿宋_GB2312" w:hAnsi="仿宋_GB2312" w:eastAsia="仿宋_GB2312"/>
          <w:sz w:val="28"/>
          <w:szCs w:val="28"/>
          <w:lang w:eastAsia="zh-CN"/>
        </w:rPr>
        <w:t>精准施策</w:t>
      </w:r>
      <w:r>
        <w:rPr>
          <w:rFonts w:hint="eastAsia" w:ascii="仿宋_GB2312" w:hAnsi="仿宋_GB2312" w:eastAsia="仿宋_GB2312"/>
          <w:sz w:val="28"/>
          <w:szCs w:val="28"/>
          <w:lang w:eastAsia="zh-CN"/>
        </w:rPr>
        <w:t>，推进小麦全链条节约减损。</w:t>
      </w:r>
    </w:p>
    <w:p w14:paraId="0306A881">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2</w:t>
      </w:r>
      <w:r>
        <w:rPr>
          <w:rFonts w:ascii="仿宋_GB2312" w:hAnsi="仿宋_GB2312" w:eastAsia="仿宋_GB2312"/>
          <w:sz w:val="28"/>
          <w:szCs w:val="28"/>
          <w:lang w:eastAsia="zh-CN"/>
        </w:rPr>
        <w:t xml:space="preserve">.1.5 </w:t>
      </w:r>
      <w:r>
        <w:rPr>
          <w:rFonts w:hint="eastAsia" w:ascii="仿宋_GB2312" w:hAnsi="仿宋_GB2312" w:eastAsia="仿宋_GB2312"/>
          <w:sz w:val="28"/>
          <w:szCs w:val="28"/>
          <w:lang w:eastAsia="zh-CN"/>
        </w:rPr>
        <w:t>科学管理</w:t>
      </w:r>
    </w:p>
    <w:p w14:paraId="161D1E7E">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进一步加强政策支持，推动形成有利于节粮减损的制度和环境，着力提供更多绿色节粮减损技术和管理模式，借鉴先进国家和地区节粮减损的成功经验。</w:t>
      </w:r>
    </w:p>
    <w:p w14:paraId="2FC085AC">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2</w:t>
      </w:r>
      <w:r>
        <w:rPr>
          <w:rFonts w:ascii="仿宋_GB2312" w:hAnsi="仿宋_GB2312" w:eastAsia="仿宋_GB2312"/>
          <w:sz w:val="28"/>
          <w:szCs w:val="28"/>
          <w:lang w:eastAsia="zh-CN"/>
        </w:rPr>
        <w:t xml:space="preserve">.1.6 </w:t>
      </w:r>
      <w:r>
        <w:rPr>
          <w:rFonts w:hint="eastAsia" w:ascii="仿宋_GB2312" w:hAnsi="仿宋_GB2312" w:eastAsia="仿宋_GB2312"/>
          <w:sz w:val="28"/>
          <w:szCs w:val="28"/>
          <w:lang w:eastAsia="zh-CN"/>
        </w:rPr>
        <w:t>多目标协同</w:t>
      </w:r>
    </w:p>
    <w:p w14:paraId="5F495EF5">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明确节粮减损目标，实现稳定供应、农业增效、农民增收和绿色发展的多目标统筹协调，切实保障不同农业经营主体的利益。</w:t>
      </w:r>
    </w:p>
    <w:bookmarkEnd w:id="2"/>
    <w:bookmarkEnd w:id="3"/>
    <w:p w14:paraId="06141152">
      <w:pPr>
        <w:spacing w:line="540" w:lineRule="exact"/>
        <w:ind w:firstLine="562" w:firstLineChars="200"/>
        <w:rPr>
          <w:rFonts w:ascii="仿宋_GB2312" w:hAnsi="仿宋_GB2312" w:eastAsia="仿宋_GB2312"/>
          <w:b/>
          <w:bCs/>
          <w:sz w:val="28"/>
          <w:szCs w:val="28"/>
          <w:lang w:eastAsia="zh-CN"/>
        </w:rPr>
      </w:pPr>
      <w:r>
        <w:rPr>
          <w:rFonts w:hint="eastAsia" w:ascii="仿宋_GB2312" w:hAnsi="仿宋_GB2312" w:eastAsia="仿宋_GB2312"/>
          <w:b/>
          <w:bCs/>
          <w:sz w:val="28"/>
          <w:szCs w:val="28"/>
          <w:lang w:eastAsia="zh-CN"/>
        </w:rPr>
        <w:t>2</w:t>
      </w:r>
      <w:r>
        <w:rPr>
          <w:rFonts w:ascii="仿宋_GB2312" w:hAnsi="仿宋_GB2312" w:eastAsia="仿宋_GB2312"/>
          <w:b/>
          <w:bCs/>
          <w:sz w:val="28"/>
          <w:szCs w:val="28"/>
          <w:lang w:eastAsia="zh-CN"/>
        </w:rPr>
        <w:t xml:space="preserve">.2 </w:t>
      </w:r>
      <w:r>
        <w:rPr>
          <w:rFonts w:hint="eastAsia" w:ascii="仿宋_GB2312" w:hAnsi="仿宋_GB2312" w:eastAsia="仿宋_GB2312"/>
          <w:b/>
          <w:bCs/>
          <w:sz w:val="28"/>
          <w:szCs w:val="28"/>
          <w:lang w:eastAsia="zh-CN"/>
        </w:rPr>
        <w:t>提出本标准主要内容的依据</w:t>
      </w:r>
    </w:p>
    <w:p w14:paraId="54E7F88B">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目前国内并没有形成完整的粮食减损标准体系，本标准的主要内容规定了小麦生产、储存、运输、加工等关键环节粮食损失相关术语和定义、分类及节粮减损基本原则、措施、流程、技术要求。主要依据以下标准：GB 15618  土壤环境质量标准；GB 7414-7415  主要农作物种子包装及贮藏；GB 4285  农药安全使用标准；GB 5084  农田灌溉水质标准；GB 13122  食品安全国家标准  谷物加工卫生规范；GB/T 8321  农药合理使用准则；</w:t>
      </w:r>
      <w:r>
        <w:rPr>
          <w:rFonts w:ascii="仿宋_GB2312" w:hAnsi="仿宋_GB2312" w:eastAsia="仿宋_GB2312"/>
          <w:sz w:val="28"/>
          <w:szCs w:val="28"/>
          <w:lang w:eastAsia="zh-CN"/>
        </w:rPr>
        <w:t xml:space="preserve">GB/T 1351 </w:t>
      </w:r>
      <w:r>
        <w:rPr>
          <w:rFonts w:hint="eastAsia" w:ascii="仿宋_GB2312" w:hAnsi="仿宋_GB2312" w:eastAsia="仿宋_GB2312"/>
          <w:sz w:val="28"/>
          <w:szCs w:val="28"/>
          <w:lang w:eastAsia="zh-CN"/>
        </w:rPr>
        <w:t>小麦；GB/T 21016  小麦干燥技术规范；GB/T 22497  粮油储藏 熏蒸剂使用准则；GB/T 22198  粮油储藏 防护剂使用准则；GB/T 29890-2013  粮油储藏技术规范；G</w:t>
      </w:r>
      <w:r>
        <w:rPr>
          <w:rFonts w:ascii="仿宋_GB2312" w:hAnsi="仿宋_GB2312" w:eastAsia="仿宋_GB2312"/>
          <w:sz w:val="28"/>
          <w:szCs w:val="28"/>
          <w:lang w:eastAsia="zh-CN"/>
        </w:rPr>
        <w:t>B/T 2</w:t>
      </w:r>
      <w:r>
        <w:rPr>
          <w:rFonts w:hint="eastAsia" w:ascii="仿宋_GB2312" w:hAnsi="仿宋_GB2312" w:eastAsia="仿宋_GB2312"/>
          <w:sz w:val="28"/>
          <w:szCs w:val="28"/>
          <w:lang w:eastAsia="zh-CN"/>
        </w:rPr>
        <w:t>0571</w:t>
      </w:r>
      <w:r>
        <w:rPr>
          <w:rFonts w:ascii="仿宋_GB2312" w:hAnsi="仿宋_GB2312" w:eastAsia="仿宋_GB2312"/>
          <w:sz w:val="28"/>
          <w:szCs w:val="28"/>
          <w:lang w:eastAsia="zh-CN"/>
        </w:rPr>
        <w:t xml:space="preserve"> </w:t>
      </w:r>
      <w:r>
        <w:rPr>
          <w:rFonts w:hint="eastAsia" w:ascii="仿宋_GB2312" w:hAnsi="仿宋_GB2312" w:eastAsia="仿宋_GB2312"/>
          <w:sz w:val="28"/>
          <w:szCs w:val="28"/>
          <w:lang w:eastAsia="zh-CN"/>
        </w:rPr>
        <w:t>小麦储存品质判定规则；G</w:t>
      </w:r>
      <w:r>
        <w:rPr>
          <w:rFonts w:ascii="仿宋_GB2312" w:hAnsi="仿宋_GB2312" w:eastAsia="仿宋_GB2312"/>
          <w:sz w:val="28"/>
          <w:szCs w:val="28"/>
          <w:lang w:eastAsia="zh-CN"/>
        </w:rPr>
        <w:t xml:space="preserve">B </w:t>
      </w:r>
      <w:r>
        <w:rPr>
          <w:rFonts w:hint="eastAsia" w:ascii="仿宋_GB2312" w:hAnsi="仿宋_GB2312" w:eastAsia="仿宋_GB2312"/>
          <w:sz w:val="28"/>
          <w:szCs w:val="28"/>
          <w:lang w:eastAsia="zh-CN"/>
        </w:rPr>
        <w:t>2715</w:t>
      </w:r>
      <w:r>
        <w:rPr>
          <w:rFonts w:ascii="仿宋_GB2312" w:hAnsi="仿宋_GB2312" w:eastAsia="仿宋_GB2312"/>
          <w:sz w:val="28"/>
          <w:szCs w:val="28"/>
          <w:lang w:eastAsia="zh-CN"/>
        </w:rPr>
        <w:t xml:space="preserve"> </w:t>
      </w:r>
      <w:r>
        <w:rPr>
          <w:rFonts w:hint="eastAsia" w:ascii="仿宋_GB2312" w:hAnsi="仿宋_GB2312" w:eastAsia="仿宋_GB2312"/>
          <w:sz w:val="28"/>
          <w:szCs w:val="28"/>
          <w:lang w:eastAsia="zh-CN"/>
        </w:rPr>
        <w:t>粮食卫生标准；GB/T 30600-2022 高标准农田建设通则；LS/T 1202-2002  储粮机械通风技术规程；LS/T 1213-2008  二氧化碳气调储粮技术规程；LS/T 1217-2016  简易仓囤储粮技术规程；LS/T 1218-2017  中国好粮油  生产质量控制规范；LS/T 1220-2020  平房仓横向通风技术规程；LS/T 1221-2020  储粮害虫在线监测技术规程；NY/T 496  肥料合理使用准则  通则；NY/T 851  小麦产地环境技术条件；NY/T 1105  肥料合理使用准则  氮肥。</w:t>
      </w:r>
    </w:p>
    <w:p w14:paraId="33BC0BDC">
      <w:pPr>
        <w:widowControl w:val="0"/>
        <w:kinsoku/>
        <w:autoSpaceDE/>
        <w:autoSpaceDN/>
        <w:spacing w:line="500" w:lineRule="exact"/>
        <w:ind w:firstLine="562"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3.主要试验（或验证）情况的分析、综述报告，技术经济论证，预期的经济效果</w:t>
      </w:r>
    </w:p>
    <w:p w14:paraId="7BFFCBFA">
      <w:pPr>
        <w:spacing w:line="500" w:lineRule="exact"/>
        <w:ind w:firstLine="562" w:firstLineChars="200"/>
        <w:jc w:val="both"/>
        <w:rPr>
          <w:rFonts w:ascii="仿宋_GB2312" w:hAnsi="仿宋_GB2312" w:eastAsia="仿宋_GB2312" w:cs="楷体_GB2312"/>
          <w:b/>
          <w:bCs/>
          <w:sz w:val="28"/>
          <w:szCs w:val="28"/>
          <w:lang w:eastAsia="zh-CN"/>
        </w:rPr>
      </w:pPr>
      <w:r>
        <w:rPr>
          <w:rFonts w:hint="eastAsia" w:ascii="仿宋_GB2312" w:hAnsi="仿宋_GB2312" w:eastAsia="仿宋_GB2312" w:cs="楷体_GB2312"/>
          <w:b/>
          <w:bCs/>
          <w:sz w:val="28"/>
          <w:szCs w:val="28"/>
          <w:lang w:eastAsia="zh-CN"/>
        </w:rPr>
        <w:t>3</w:t>
      </w:r>
      <w:r>
        <w:rPr>
          <w:rFonts w:ascii="仿宋_GB2312" w:hAnsi="仿宋_GB2312" w:eastAsia="仿宋_GB2312" w:cs="楷体_GB2312"/>
          <w:b/>
          <w:bCs/>
          <w:sz w:val="28"/>
          <w:szCs w:val="28"/>
          <w:lang w:eastAsia="zh-CN"/>
        </w:rPr>
        <w:t xml:space="preserve">.1 </w:t>
      </w:r>
      <w:r>
        <w:rPr>
          <w:rFonts w:hint="eastAsia" w:ascii="仿宋_GB2312" w:hAnsi="仿宋_GB2312" w:eastAsia="仿宋_GB2312" w:cs="楷体_GB2312"/>
          <w:b/>
          <w:bCs/>
          <w:sz w:val="28"/>
          <w:szCs w:val="28"/>
          <w:lang w:eastAsia="zh-CN"/>
        </w:rPr>
        <w:t>试验验证的分析与综述报告</w:t>
      </w:r>
    </w:p>
    <w:p w14:paraId="40D2FF18">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粮食安全是“国之大者”，解决好14亿多中国人的吃饭问题始终是治国理政的头等大事。新中国成立70多年来，始终把发展粮食生产作为农业农村工作的重点，依靠世界9%的耕地，生产了近1/4的粮食，养活了近1/5的人口，成功依靠自身力量实现了粮食基本自给，走出一条中国特色粮食安全之路。但不容忽视的现实是，一方面受国内农业资源环境约束趋紧、地方抓粮和生产者种粮积极性弱化等多重影响，粮食稳产增产面临严峻挑战（朱满德等，2022）；另一方面粮食产后损失和食物浪费十分普遍，且数量巨大，加剧了粮食生产供给和农业资源环境压力（Li X等，2021）。</w:t>
      </w:r>
    </w:p>
    <w:p w14:paraId="3D880D9B">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2022年中央农村工作会议明确提出，“保障粮食安全，要在增产和减损两端同时发力”。这是从粮食产业链和供应链整体出发，把国内粮食稳产增产、粮食节约减损置于保障国家粮食安全的同等重要位置，是新发展阶段保障国家粮食安全的重大举措和有效途径。下面简述对小麦减损技术的研究成果及今后的发展方向。</w:t>
      </w:r>
    </w:p>
    <w:p w14:paraId="0D1132A4">
      <w:pPr>
        <w:spacing w:line="500" w:lineRule="exact"/>
        <w:ind w:firstLine="560" w:firstLineChars="200"/>
        <w:jc w:val="both"/>
        <w:rPr>
          <w:rFonts w:ascii="仿宋_GB2312" w:hAnsi="仿宋_GB2312" w:eastAsia="仿宋_GB2312"/>
          <w:sz w:val="28"/>
          <w:szCs w:val="28"/>
          <w:lang w:eastAsia="zh-CN"/>
        </w:rPr>
      </w:pPr>
      <w:r>
        <w:rPr>
          <w:rFonts w:ascii="仿宋_GB2312" w:hAnsi="仿宋_GB2312" w:eastAsia="仿宋_GB2312"/>
          <w:sz w:val="28"/>
          <w:szCs w:val="28"/>
          <w:lang w:eastAsia="zh-CN"/>
        </w:rPr>
        <w:t xml:space="preserve">3.1.1 </w:t>
      </w:r>
      <w:r>
        <w:rPr>
          <w:rFonts w:hint="eastAsia" w:ascii="仿宋_GB2312" w:hAnsi="仿宋_GB2312" w:eastAsia="仿宋_GB2312"/>
          <w:sz w:val="28"/>
          <w:szCs w:val="28"/>
          <w:lang w:eastAsia="zh-CN"/>
        </w:rPr>
        <w:t>小麦生产过程的损失及减损技术说明</w:t>
      </w:r>
    </w:p>
    <w:p w14:paraId="77F524A2">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小麦播种后，除了受到自然灾害、天气等不确定性因素的影响外，病虫害也会影响小麦的产量和品质。如锈病会侵染春小麦叶子和茎秆，导致作物减产；白粉病使叶面由开始出现白斑点到最后整体枯死；黄矮病受麦蚜虫传播，拔节期即出现植株长势矮小，叶片发黄等。此外，小麦的长势也会受到化肥的影响，量多量少都不利于产量提高。采取合适的减损技术措施，制定合理的化肥、农药施用标准，能够提高农业生产力，减少粮食损失。</w:t>
      </w:r>
    </w:p>
    <w:p w14:paraId="42A41BF5">
      <w:pPr>
        <w:spacing w:line="500" w:lineRule="exact"/>
        <w:ind w:firstLine="560" w:firstLineChars="200"/>
        <w:jc w:val="both"/>
        <w:rPr>
          <w:rFonts w:ascii="仿宋_GB2312" w:hAnsi="仿宋_GB2312" w:eastAsia="仿宋_GB2312"/>
          <w:sz w:val="28"/>
          <w:szCs w:val="28"/>
          <w:lang w:eastAsia="zh-CN"/>
        </w:rPr>
      </w:pPr>
      <w:r>
        <w:rPr>
          <w:rFonts w:ascii="仿宋_GB2312" w:hAnsi="仿宋_GB2312" w:eastAsia="仿宋_GB2312"/>
          <w:sz w:val="28"/>
          <w:szCs w:val="28"/>
          <w:lang w:eastAsia="zh-CN"/>
        </w:rPr>
        <w:t xml:space="preserve">3.1.2 </w:t>
      </w:r>
      <w:r>
        <w:rPr>
          <w:rFonts w:hint="eastAsia" w:ascii="仿宋_GB2312" w:hAnsi="仿宋_GB2312" w:eastAsia="仿宋_GB2312"/>
          <w:sz w:val="28"/>
          <w:szCs w:val="28"/>
          <w:lang w:eastAsia="zh-CN"/>
        </w:rPr>
        <w:t>小麦在收获环节的损失及减损技术说明</w:t>
      </w:r>
    </w:p>
    <w:p w14:paraId="511A4D1E">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据统计，2019年我国小麦机收率已达97%左右。但据有关调查，小麦平均收获损失率为4.7%，与国内NY/T 995-2006《谷物（小麦）联合收获机械 作业质量》标准中规定的机收小麦损失率2%-2.5%相比，小麦机收减损还有很大的提升空间。然而，美国、德国等发达国家早在20世纪60年代初期已经基本实现了小麦收获的全程机械化，并朝着大型化、自动化、现代化和精准化方向发展，比如美国的凯斯以及纽荷兰联合收割机，德国克拉斯联合收割机。因此，欧美地区的损失率较小，约为1-2%。</w:t>
      </w:r>
    </w:p>
    <w:p w14:paraId="58096124">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收获环节的损失一般包含收割前损失、收割机损失。收割前损失一是因为天气等自然灾害，比如后期干热风导致小麦严重倒伏、持续阴雨导致穗发芽等因素，造成不宜机收，机收前就已损失过大的情况；二是小麦适收期把握不准，俗话说“麦九成熟十成收，十成熟九成收”，就是说麦子原始祖先的落粒性导致熟透会造成自然掉粒损失过多的现象。小麦收割损失包括割台损失、夹带损失、清选损失、漏粮损失等，对收割机转速、功率、拨苗轮高度等技术要求高。</w:t>
      </w:r>
    </w:p>
    <w:p w14:paraId="70910F62">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收获损失是小麦全产业链上损耗最大的环节，这意味着，粮食来到餐桌之前，在田间地头就产生了严重的浪费，这些损失往往由于收割机械精细化程度不够、农机农艺不配套、机手操作不规范等问题所产生，因此，针对这些问题，提出相应的减损技术措施，有助于稳产保供，保障粮食安全。</w:t>
      </w:r>
    </w:p>
    <w:p w14:paraId="21B3AEB5">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3</w:t>
      </w:r>
      <w:r>
        <w:rPr>
          <w:rFonts w:ascii="仿宋_GB2312" w:hAnsi="仿宋_GB2312" w:eastAsia="仿宋_GB2312"/>
          <w:sz w:val="28"/>
          <w:szCs w:val="28"/>
          <w:lang w:eastAsia="zh-CN"/>
        </w:rPr>
        <w:t xml:space="preserve">.1.3 </w:t>
      </w:r>
      <w:r>
        <w:rPr>
          <w:rFonts w:hint="eastAsia" w:ascii="仿宋_GB2312" w:hAnsi="仿宋_GB2312" w:eastAsia="仿宋_GB2312"/>
          <w:sz w:val="28"/>
          <w:szCs w:val="28"/>
          <w:lang w:eastAsia="zh-CN"/>
        </w:rPr>
        <w:t>小麦在烘干环节的损失及技术说明</w:t>
      </w:r>
    </w:p>
    <w:p w14:paraId="012912B8">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烘干是小麦全产业链机械化的短板，目前，部分地区粮食烘干能力建设滞后，布局和数量不能满足需求。由于缺少晾晒场地和烘干设备，一些农户等作物含水率较低时才收获，增加了机收损失，或者直接晾晒到马路上，严重影响了交通安全，提高了小麦被污染的概率。小麦收获时遭遇连续阴雨天气，如缺乏相应的烘干设备会造成霉变、发芽等现象，所以应该重视烘干机械化。一是提升烘干技术工艺，对照适收期含水率、安全入库水分，制订小麦的烘干要求；二是配套适宜的烘干机具，完善烘干工艺，提高烘干质量；三是采用绿色低损烘干技术，推广使用燃气、生物质、热泵等环保热源的烘干机，减少谷物污染，提高烘干品质。通过提升烘干能力建设，优化粮食烘干服务中心布局，合理规划布局建设等措施可有效降低小麦烘干晾晒损失、保障食品安全。</w:t>
      </w:r>
    </w:p>
    <w:p w14:paraId="476CF9CE">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3</w:t>
      </w:r>
      <w:r>
        <w:rPr>
          <w:rFonts w:ascii="仿宋_GB2312" w:hAnsi="仿宋_GB2312" w:eastAsia="仿宋_GB2312"/>
          <w:sz w:val="28"/>
          <w:szCs w:val="28"/>
          <w:lang w:eastAsia="zh-CN"/>
        </w:rPr>
        <w:t xml:space="preserve">.1.4 </w:t>
      </w:r>
      <w:r>
        <w:rPr>
          <w:rFonts w:hint="eastAsia" w:ascii="仿宋_GB2312" w:hAnsi="仿宋_GB2312" w:eastAsia="仿宋_GB2312"/>
          <w:sz w:val="28"/>
          <w:szCs w:val="28"/>
          <w:lang w:eastAsia="zh-CN"/>
        </w:rPr>
        <w:t>小麦在储存环节的损失及技术说明</w:t>
      </w:r>
    </w:p>
    <w:p w14:paraId="785302F4">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为确保国家粮食安全，2006年国家开始实行小麦最低保护价政策，提高了农民的种粮积极性，粮食产量逐年提高，粮食库存也逐年加大，但随之而来的小麦储存损耗问题也日益严重。储存粮食损耗的定义是指从粮食计量验收入库起，到计量出库的整个保管过程中发生的全部损耗。国家规定了两种形式的损耗，即自然损耗和水分杂质减量。自然损耗是指粮油在储存过程中，因正常生命活动消耗的干物质、计量的合理误差、检验化验耗用的样品、轻微的虫鼠雀害以及搬倒中零星抛撒等导致的损耗。水分杂质减量是指粮油在入库和储存过程中，由于水分自然蒸发，以及通风、烘晒、除杂整理等作业导致的水分降低或杂质减少。</w:t>
      </w:r>
    </w:p>
    <w:p w14:paraId="4A290514">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我国《粮食仓储管理办法》规定了保管自然损耗和水分杂质减量处置办法，即自然损耗率按照定额储存半年以内不超过0.1%；半年以上1年以内不超过 0.15%；1年以上不超过0.2%。水分杂质减量应当实核实销，小麦只有达到安全储存的标准（13.0%以下）才能通过验收入库，以达到安全储藏的目的，入仓前以及入仓期间发生的水分杂质减量在形成货位后核销，储存期间的水分杂质减量在一个货位或批次粮油出清后核销。</w:t>
      </w:r>
    </w:p>
    <w:p w14:paraId="77FF854C">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小麦损失损耗的产生既由客观因素造成，又由人为因素导致。其损耗主要有以下三个原因：第一，入库环节的计量器具产生误差、监磅人员责任心及管理不到位导致入库时售粮人员掺杂使假，灾害年份入库粮质差，抢收粮、人情粮、关系粮以及管理不到位导致高水分、高杂质粮食入库，验质不准确导致没按国家标准扣量或不扣量等原因。第二，保管环节粮食自身的呼吸损耗、通风降水减量、保管不善导致的虫霉鼠害以及仓储设施出现问题，如仓房防潮、密闭、隔热性能差及漏雨造成的损失等原因。第三，出库环节的输送机械产生风耗和抛洒也会导致部分损耗产生。</w:t>
      </w:r>
    </w:p>
    <w:p w14:paraId="74A3B09F">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为了减少在储存环节的粮食损耗，已有绿色储粮标准《二氧化碳气调储粮技术规程》《氮气气调储粮技术规程》等发布，在一定程度上提升了绿色储粮水平，降低了储存环节粮食损耗。但还有很大一部分农场和农户在储存小麦时，损耗率远远超过合理损耗率的范围。已有研究表明，农户储备环节，小麦损失率高达1.86%；印度作为世界第二大小麦生产国，今年由于热浪损害了北部主要种植区的产量，储存损耗又加剧了本国的粮食危机。</w:t>
      </w:r>
    </w:p>
    <w:p w14:paraId="23D30C5F">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因此，制修定小麦储量技术标准，推动种植户实现藏粮于地、藏粮于技，比如通风采用“保水降温通风”技术、粮面雾化空气下行式循环通风调质的方式，可以增湿调质，减少粮食损耗。同时加强出入库管理，严格执行国家出入库检验制度，采用先进的储粮设施，防治虫霉鼠害。避免造成更大的经济损失，确保粮食安全储存，切实做到提质增效。</w:t>
      </w:r>
    </w:p>
    <w:p w14:paraId="3966E606">
      <w:pPr>
        <w:spacing w:line="500" w:lineRule="exact"/>
        <w:ind w:firstLine="562" w:firstLineChars="200"/>
        <w:jc w:val="both"/>
        <w:rPr>
          <w:rFonts w:ascii="仿宋_GB2312" w:hAnsi="仿宋_GB2312" w:eastAsia="仿宋_GB2312" w:cs="楷体_GB2312"/>
          <w:b/>
          <w:bCs/>
          <w:sz w:val="28"/>
          <w:szCs w:val="28"/>
          <w:lang w:eastAsia="zh-CN"/>
        </w:rPr>
      </w:pPr>
      <w:r>
        <w:rPr>
          <w:rFonts w:hint="eastAsia" w:ascii="仿宋_GB2312" w:hAnsi="仿宋_GB2312" w:eastAsia="仿宋_GB2312" w:cs="楷体_GB2312"/>
          <w:b/>
          <w:bCs/>
          <w:sz w:val="28"/>
          <w:szCs w:val="28"/>
          <w:lang w:eastAsia="zh-CN"/>
        </w:rPr>
        <w:t>3</w:t>
      </w:r>
      <w:r>
        <w:rPr>
          <w:rFonts w:ascii="仿宋_GB2312" w:hAnsi="仿宋_GB2312" w:eastAsia="仿宋_GB2312" w:cs="楷体_GB2312"/>
          <w:b/>
          <w:bCs/>
          <w:sz w:val="28"/>
          <w:szCs w:val="28"/>
          <w:lang w:eastAsia="zh-CN"/>
        </w:rPr>
        <w:t xml:space="preserve">.2 </w:t>
      </w:r>
      <w:r>
        <w:rPr>
          <w:rFonts w:hint="eastAsia" w:ascii="仿宋_GB2312" w:hAnsi="仿宋_GB2312" w:eastAsia="仿宋_GB2312" w:cs="楷体_GB2312"/>
          <w:b/>
          <w:bCs/>
          <w:sz w:val="28"/>
          <w:szCs w:val="28"/>
          <w:lang w:eastAsia="zh-CN"/>
        </w:rPr>
        <w:t>技术经济论证</w:t>
      </w:r>
    </w:p>
    <w:p w14:paraId="2CDB74CD">
      <w:pPr>
        <w:pStyle w:val="5"/>
        <w:widowControl/>
        <w:spacing w:before="0" w:beforeAutospacing="0" w:after="0" w:afterAutospacing="0" w:line="500" w:lineRule="exact"/>
        <w:ind w:firstLine="560" w:firstLineChars="200"/>
        <w:jc w:val="both"/>
        <w:rPr>
          <w:rFonts w:ascii="仿宋_GB2312" w:hAnsi="仿宋_GB2312" w:eastAsia="仿宋_GB2312"/>
          <w:sz w:val="28"/>
          <w:szCs w:val="28"/>
        </w:rPr>
      </w:pPr>
      <w:r>
        <w:rPr>
          <w:rFonts w:hint="eastAsia" w:ascii="仿宋_GB2312" w:hAnsi="仿宋_GB2312" w:eastAsia="仿宋_GB2312"/>
          <w:snapToGrid w:val="0"/>
          <w:color w:val="000000"/>
          <w:sz w:val="28"/>
          <w:szCs w:val="28"/>
        </w:rPr>
        <w:t>本标准文件规定了小麦生产、储存、运输等关键环节粮食损失相关术语和定义、分类及节粮减损基本原则、措施、流程、技术要求。适用于小麦产业链前端各环节。未涉及经济技术指标，故没有进行相关技术经济论证。</w:t>
      </w:r>
    </w:p>
    <w:p w14:paraId="7AEB1EC3">
      <w:pPr>
        <w:spacing w:line="500" w:lineRule="exact"/>
        <w:ind w:firstLine="562" w:firstLineChars="200"/>
        <w:jc w:val="both"/>
        <w:rPr>
          <w:rFonts w:ascii="仿宋_GB2312" w:hAnsi="仿宋_GB2312" w:eastAsia="仿宋_GB2312" w:cs="楷体_GB2312"/>
          <w:b/>
          <w:bCs/>
          <w:sz w:val="28"/>
          <w:szCs w:val="28"/>
          <w:lang w:eastAsia="zh-CN"/>
        </w:rPr>
      </w:pPr>
      <w:r>
        <w:rPr>
          <w:rFonts w:hint="eastAsia" w:ascii="仿宋_GB2312" w:hAnsi="仿宋_GB2312" w:eastAsia="仿宋_GB2312" w:cs="楷体_GB2312"/>
          <w:b/>
          <w:bCs/>
          <w:sz w:val="28"/>
          <w:szCs w:val="28"/>
          <w:lang w:eastAsia="zh-CN"/>
        </w:rPr>
        <w:t>3</w:t>
      </w:r>
      <w:r>
        <w:rPr>
          <w:rFonts w:ascii="仿宋_GB2312" w:hAnsi="仿宋_GB2312" w:eastAsia="仿宋_GB2312" w:cs="楷体_GB2312"/>
          <w:b/>
          <w:bCs/>
          <w:sz w:val="28"/>
          <w:szCs w:val="28"/>
          <w:lang w:eastAsia="zh-CN"/>
        </w:rPr>
        <w:t xml:space="preserve">.3 </w:t>
      </w:r>
      <w:r>
        <w:rPr>
          <w:rFonts w:hint="eastAsia" w:ascii="仿宋_GB2312" w:hAnsi="仿宋_GB2312" w:eastAsia="仿宋_GB2312" w:cs="楷体_GB2312"/>
          <w:b/>
          <w:bCs/>
          <w:sz w:val="28"/>
          <w:szCs w:val="28"/>
          <w:lang w:eastAsia="zh-CN"/>
        </w:rPr>
        <w:t>预期的经济效益、社会效益和生态效益</w:t>
      </w:r>
    </w:p>
    <w:p w14:paraId="7B4A261D">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小麦生产过程减损技术通则的制定，能够为保障国家粮食安全提供重要技术支撑。小麦作为我国三大主粮之一，常年种植面积在23380千公顷以上，产量稳步增长，2021年产量达13694.4万吨。但在小麦生产、储存、加工、运输等供应链前端环节中存在相关标准缺失、实施力度不够等问题，导致粮食的大量浪费。</w:t>
      </w:r>
    </w:p>
    <w:p w14:paraId="17EEF704">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小麦节粮减损标准体系建设，能够从土壤地力培育、良种优选、精量节种、田间管理、气候韧性提升、适期收获、产后燥储等生产过程各环节的技术指标制定科学规范，重视农机农艺融合、良种良法配套，综合采用“一喷三防”等绿色低碳的病虫草害防控措施，有效促进节粮减损。</w:t>
      </w:r>
    </w:p>
    <w:p w14:paraId="0A572341">
      <w:pPr>
        <w:spacing w:line="500" w:lineRule="exact"/>
        <w:ind w:firstLine="560" w:firstLineChars="200"/>
        <w:jc w:val="both"/>
        <w:rPr>
          <w:rFonts w:ascii="仿宋_GB2312" w:hAnsi="仿宋_GB2312" w:eastAsia="仿宋_GB2312" w:cs="Meiryo"/>
          <w:sz w:val="28"/>
          <w:szCs w:val="28"/>
          <w:lang w:eastAsia="zh-CN"/>
        </w:rPr>
      </w:pPr>
      <w:r>
        <w:rPr>
          <w:rFonts w:hint="eastAsia" w:ascii="仿宋_GB2312" w:hAnsi="仿宋_GB2312" w:eastAsia="仿宋_GB2312"/>
          <w:sz w:val="28"/>
          <w:szCs w:val="28"/>
          <w:lang w:eastAsia="zh-CN"/>
        </w:rPr>
        <w:t>本标准更强调防旱排涝、防风固沙、适温抢墒等改善麦田生态、提高小麦群体抵御自然灾害能力的技术措施，从生态可持续的角度出发，综合降低化肥、农药、种子、水等资源的无效消耗，促进节本增效和生态环境的绿色发展。</w:t>
      </w:r>
    </w:p>
    <w:p w14:paraId="6B7A9011">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4.与国际、国外、国行标对比情况</w:t>
      </w:r>
      <w:r>
        <w:rPr>
          <w:rFonts w:hint="eastAsia" w:ascii="仿宋_GB2312" w:hAnsi="仿宋_GB2312" w:eastAsia="仿宋_GB2312" w:cs="仿宋_GB2312"/>
          <w:sz w:val="28"/>
          <w:szCs w:val="28"/>
          <w:lang w:eastAsia="zh-CN"/>
        </w:rPr>
        <w:t>（采用国际标准和国外先进标准的程度，以及与国际、国外同类标准水平以及国行标水平的对比情况，或与测试的国外样品、样机的有关数据的对比情况等）</w:t>
      </w:r>
    </w:p>
    <w:p w14:paraId="35D88431">
      <w:pPr>
        <w:pStyle w:val="6"/>
        <w:spacing w:line="500" w:lineRule="exact"/>
        <w:ind w:firstLine="560"/>
        <w:rPr>
          <w:rFonts w:hAnsi="仿宋_GB2312" w:eastAsia="仿宋_GB2312"/>
          <w:snapToGrid w:val="0"/>
          <w:color w:val="000000"/>
          <w:kern w:val="0"/>
          <w:sz w:val="28"/>
          <w:szCs w:val="28"/>
        </w:rPr>
      </w:pPr>
      <w:r>
        <w:rPr>
          <w:rFonts w:hint="eastAsia" w:hAnsi="仿宋_GB2312" w:eastAsia="仿宋_GB2312"/>
          <w:snapToGrid w:val="0"/>
          <w:color w:val="000000"/>
          <w:kern w:val="0"/>
          <w:sz w:val="28"/>
          <w:szCs w:val="28"/>
        </w:rPr>
        <w:t>经检索国内外尚无与本文类似的标准，在粮食减损领域属于引领性文件。文件制定发布后将加快推进小麦节粮减损标准体系建设，强化节粮减损标准供给，推动标准的应用实施。</w:t>
      </w:r>
    </w:p>
    <w:p w14:paraId="5099DB68">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5.与有关的现行法律法规和强制性国家标准的关系</w:t>
      </w:r>
      <w:r>
        <w:rPr>
          <w:rFonts w:hint="eastAsia" w:ascii="仿宋_GB2312" w:hAnsi="仿宋_GB2312" w:eastAsia="仿宋_GB2312" w:cs="仿宋_GB2312"/>
          <w:sz w:val="28"/>
          <w:szCs w:val="28"/>
          <w:lang w:eastAsia="zh-CN"/>
        </w:rPr>
        <w:t>（简要说明标准与法律法规、标准的协调性）</w:t>
      </w:r>
    </w:p>
    <w:p w14:paraId="207689DC">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目前国内并没有形成完整的粮食减损标准体系，但在粮食生产、收获、干燥、储藏、加工等环节具有多个标准，包括以下：</w:t>
      </w:r>
    </w:p>
    <w:p w14:paraId="46C317AF">
      <w:pPr>
        <w:pStyle w:val="5"/>
        <w:widowControl/>
        <w:spacing w:before="0" w:beforeAutospacing="0" w:after="0" w:afterAutospacing="0" w:line="500" w:lineRule="exact"/>
        <w:ind w:firstLine="560" w:firstLineChars="200"/>
        <w:jc w:val="both"/>
        <w:rPr>
          <w:rFonts w:ascii="仿宋_GB2312" w:hAnsi="仿宋_GB2312" w:eastAsia="仿宋_GB2312"/>
          <w:snapToGrid w:val="0"/>
          <w:color w:val="000000"/>
          <w:sz w:val="28"/>
          <w:szCs w:val="28"/>
        </w:rPr>
      </w:pPr>
      <w:r>
        <w:rPr>
          <w:rFonts w:ascii="仿宋_GB2312" w:hAnsi="仿宋_GB2312" w:eastAsia="仿宋_GB2312"/>
          <w:snapToGrid w:val="0"/>
          <w:color w:val="000000"/>
          <w:sz w:val="28"/>
          <w:szCs w:val="28"/>
        </w:rPr>
        <w:t xml:space="preserve">GB/T 1351 </w:t>
      </w:r>
      <w:r>
        <w:rPr>
          <w:rFonts w:hint="eastAsia" w:ascii="仿宋_GB2312" w:hAnsi="仿宋_GB2312" w:eastAsia="仿宋_GB2312"/>
          <w:snapToGrid w:val="0"/>
          <w:color w:val="000000"/>
          <w:sz w:val="28"/>
          <w:szCs w:val="28"/>
        </w:rPr>
        <w:t>小麦</w:t>
      </w:r>
    </w:p>
    <w:p w14:paraId="53957539">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 15618  土壤环境质量标准</w:t>
      </w:r>
    </w:p>
    <w:p w14:paraId="049F314F">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 7414-7415  主要农作物种子包装及贮藏</w:t>
      </w:r>
    </w:p>
    <w:p w14:paraId="2C11CBE2">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 4285  农药安全使用标准</w:t>
      </w:r>
    </w:p>
    <w:p w14:paraId="7220EFE7">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 5084  农田灌溉水质标准</w:t>
      </w:r>
    </w:p>
    <w:p w14:paraId="1565D335">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 13122  食品安全国家标准  谷物加工卫生规范</w:t>
      </w:r>
    </w:p>
    <w:p w14:paraId="6D89106C">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GB/T 8321  农药合理使用准则</w:t>
      </w:r>
    </w:p>
    <w:p w14:paraId="07C5CE67">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GB/T 21016  小麦干燥技术规范</w:t>
      </w:r>
    </w:p>
    <w:p w14:paraId="2472EEBA">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GB/T 22497  粮油储藏 熏蒸剂使用准则</w:t>
      </w:r>
    </w:p>
    <w:p w14:paraId="03C4470A">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GB/T 22198  粮油储藏 防护剂使用准则</w:t>
      </w:r>
    </w:p>
    <w:p w14:paraId="2FDE9D01">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GB/T 29890-2013  粮油储藏技术规范</w:t>
      </w:r>
    </w:p>
    <w:p w14:paraId="4D6C7DBE">
      <w:pPr>
        <w:pStyle w:val="5"/>
        <w:widowControl/>
        <w:spacing w:before="0" w:beforeAutospacing="0" w:after="0" w:afterAutospacing="0" w:line="500" w:lineRule="exact"/>
        <w:ind w:firstLine="560" w:firstLineChars="200"/>
        <w:jc w:val="both"/>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G</w:t>
      </w:r>
      <w:r>
        <w:rPr>
          <w:rFonts w:ascii="仿宋_GB2312" w:hAnsi="仿宋_GB2312" w:eastAsia="仿宋_GB2312"/>
          <w:snapToGrid w:val="0"/>
          <w:color w:val="000000"/>
          <w:sz w:val="28"/>
          <w:szCs w:val="28"/>
        </w:rPr>
        <w:t>B/T 2</w:t>
      </w:r>
      <w:r>
        <w:rPr>
          <w:rFonts w:hint="eastAsia" w:ascii="仿宋_GB2312" w:hAnsi="仿宋_GB2312" w:eastAsia="仿宋_GB2312"/>
          <w:snapToGrid w:val="0"/>
          <w:color w:val="000000"/>
          <w:sz w:val="28"/>
          <w:szCs w:val="28"/>
        </w:rPr>
        <w:t>0571</w:t>
      </w:r>
      <w:r>
        <w:rPr>
          <w:rFonts w:ascii="仿宋_GB2312" w:hAnsi="仿宋_GB2312" w:eastAsia="仿宋_GB2312"/>
          <w:snapToGrid w:val="0"/>
          <w:color w:val="000000"/>
          <w:sz w:val="28"/>
          <w:szCs w:val="28"/>
        </w:rPr>
        <w:t xml:space="preserve"> </w:t>
      </w:r>
      <w:r>
        <w:rPr>
          <w:rFonts w:hint="eastAsia" w:ascii="仿宋_GB2312" w:hAnsi="仿宋_GB2312" w:eastAsia="仿宋_GB2312"/>
          <w:snapToGrid w:val="0"/>
          <w:color w:val="000000"/>
          <w:sz w:val="28"/>
          <w:szCs w:val="28"/>
        </w:rPr>
        <w:t>小麦储存品质判定规则</w:t>
      </w:r>
    </w:p>
    <w:p w14:paraId="7BCC24D1">
      <w:pPr>
        <w:pStyle w:val="5"/>
        <w:widowControl/>
        <w:spacing w:before="0" w:beforeAutospacing="0" w:after="0" w:afterAutospacing="0" w:line="500" w:lineRule="exact"/>
        <w:ind w:firstLine="560" w:firstLineChars="200"/>
        <w:jc w:val="both"/>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G</w:t>
      </w:r>
      <w:r>
        <w:rPr>
          <w:rFonts w:ascii="仿宋_GB2312" w:hAnsi="仿宋_GB2312" w:eastAsia="仿宋_GB2312"/>
          <w:snapToGrid w:val="0"/>
          <w:color w:val="000000"/>
          <w:sz w:val="28"/>
          <w:szCs w:val="28"/>
        </w:rPr>
        <w:t xml:space="preserve">B </w:t>
      </w:r>
      <w:r>
        <w:rPr>
          <w:rFonts w:hint="eastAsia" w:ascii="仿宋_GB2312" w:hAnsi="仿宋_GB2312" w:eastAsia="仿宋_GB2312"/>
          <w:snapToGrid w:val="0"/>
          <w:color w:val="000000"/>
          <w:sz w:val="28"/>
          <w:szCs w:val="28"/>
        </w:rPr>
        <w:t>2715</w:t>
      </w:r>
      <w:r>
        <w:rPr>
          <w:rFonts w:ascii="仿宋_GB2312" w:hAnsi="仿宋_GB2312" w:eastAsia="仿宋_GB2312"/>
          <w:snapToGrid w:val="0"/>
          <w:color w:val="000000"/>
          <w:sz w:val="28"/>
          <w:szCs w:val="28"/>
        </w:rPr>
        <w:t xml:space="preserve"> </w:t>
      </w:r>
      <w:r>
        <w:rPr>
          <w:rFonts w:hint="eastAsia" w:ascii="仿宋_GB2312" w:hAnsi="仿宋_GB2312" w:eastAsia="仿宋_GB2312"/>
          <w:snapToGrid w:val="0"/>
          <w:color w:val="000000"/>
          <w:sz w:val="28"/>
          <w:szCs w:val="28"/>
        </w:rPr>
        <w:t>粮食卫生标准</w:t>
      </w:r>
    </w:p>
    <w:p w14:paraId="11F1A80D">
      <w:pPr>
        <w:pStyle w:val="5"/>
        <w:widowControl/>
        <w:spacing w:before="0" w:beforeAutospacing="0" w:after="0" w:afterAutospacing="0" w:line="500" w:lineRule="exact"/>
        <w:ind w:firstLine="560" w:firstLineChars="200"/>
        <w:jc w:val="both"/>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GB/T 30600-2022 高标准农田建设通则</w:t>
      </w:r>
    </w:p>
    <w:p w14:paraId="348AD508">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 1212-2008  储量化学药剂管理和使用规范</w:t>
      </w:r>
    </w:p>
    <w:p w14:paraId="6625944C">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1202-2002  储粮机械通风技术规程</w:t>
      </w:r>
    </w:p>
    <w:p w14:paraId="2D82AE45">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1213-2008  二氧化碳气调储粮技术规程</w:t>
      </w:r>
    </w:p>
    <w:p w14:paraId="5553A331">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1217-2016  简易仓囤储粮技术规程</w:t>
      </w:r>
    </w:p>
    <w:p w14:paraId="6D01018A">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1218-2017  中国好粮油  生产质量控制规范</w:t>
      </w:r>
    </w:p>
    <w:p w14:paraId="6368CAF9">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1220-2020  平房仓横向通风技术规程</w:t>
      </w:r>
    </w:p>
    <w:p w14:paraId="7D24B8A5">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LS/T 1221-2020  储粮害虫在线监测技术规程</w:t>
      </w:r>
    </w:p>
    <w:p w14:paraId="3E716B33">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NY/T 496  肥料合理使用准则  通则</w:t>
      </w:r>
    </w:p>
    <w:p w14:paraId="4A318124">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NY/T 851  小麦产地环境技术条件</w:t>
      </w:r>
    </w:p>
    <w:p w14:paraId="1141E710">
      <w:pPr>
        <w:spacing w:line="500" w:lineRule="exact"/>
        <w:ind w:firstLine="560" w:firstLineChars="200"/>
        <w:rPr>
          <w:rFonts w:ascii="仿宋_GB2312" w:hAnsi="仿宋_GB2312" w:eastAsia="仿宋_GB2312"/>
          <w:sz w:val="28"/>
          <w:szCs w:val="28"/>
          <w:lang w:eastAsia="zh-CN"/>
        </w:rPr>
      </w:pPr>
      <w:r>
        <w:rPr>
          <w:rFonts w:hint="eastAsia" w:ascii="仿宋_GB2312" w:hAnsi="仿宋_GB2312" w:eastAsia="仿宋_GB2312"/>
          <w:sz w:val="28"/>
          <w:szCs w:val="28"/>
          <w:lang w:eastAsia="zh-CN"/>
        </w:rPr>
        <w:t>NY/T 1105  肥料合理使用准则  氮肥</w:t>
      </w:r>
    </w:p>
    <w:p w14:paraId="7FFB82B0">
      <w:pPr>
        <w:spacing w:line="500" w:lineRule="exact"/>
        <w:ind w:firstLine="560" w:firstLineChars="200"/>
        <w:jc w:val="both"/>
        <w:rPr>
          <w:rFonts w:ascii="仿宋_GB2312" w:hAnsi="仿宋_GB2312" w:eastAsia="仿宋_GB2312"/>
          <w:sz w:val="28"/>
          <w:szCs w:val="28"/>
          <w:lang w:eastAsia="zh-CN"/>
        </w:rPr>
      </w:pPr>
      <w:r>
        <w:rPr>
          <w:rFonts w:hint="eastAsia" w:ascii="仿宋_GB2312" w:hAnsi="仿宋_GB2312" w:eastAsia="仿宋_GB2312"/>
          <w:sz w:val="28"/>
          <w:szCs w:val="28"/>
          <w:lang w:eastAsia="zh-CN"/>
        </w:rPr>
        <w:t>本标准项目将对已有相关标准进行整合和补充。</w:t>
      </w:r>
    </w:p>
    <w:p w14:paraId="604F008C">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6.重大分歧意见的处理经过和依据</w:t>
      </w:r>
      <w:r>
        <w:rPr>
          <w:rFonts w:hint="eastAsia" w:ascii="仿宋_GB2312" w:hAnsi="仿宋_GB2312" w:eastAsia="仿宋_GB2312" w:cs="仿宋_GB2312"/>
          <w:sz w:val="28"/>
          <w:szCs w:val="28"/>
          <w:lang w:eastAsia="zh-CN"/>
        </w:rPr>
        <w:t>（主要适用于矛盾、分歧较大的意见，处理结果与处理依据的说明；如没有，写“无”）</w:t>
      </w:r>
    </w:p>
    <w:p w14:paraId="60805A7C">
      <w:pPr>
        <w:pStyle w:val="6"/>
        <w:spacing w:line="500" w:lineRule="exact"/>
        <w:ind w:firstLine="560"/>
        <w:rPr>
          <w:rFonts w:hAnsi="仿宋_GB2312" w:eastAsia="仿宋_GB2312"/>
          <w:snapToGrid w:val="0"/>
          <w:color w:val="000000"/>
          <w:kern w:val="0"/>
          <w:sz w:val="28"/>
          <w:szCs w:val="28"/>
        </w:rPr>
      </w:pPr>
      <w:r>
        <w:rPr>
          <w:rFonts w:hint="eastAsia" w:hAnsi="仿宋_GB2312" w:eastAsia="仿宋_GB2312"/>
          <w:snapToGrid w:val="0"/>
          <w:color w:val="000000"/>
          <w:kern w:val="0"/>
          <w:sz w:val="28"/>
          <w:szCs w:val="28"/>
        </w:rPr>
        <w:t>无。</w:t>
      </w:r>
    </w:p>
    <w:p w14:paraId="225E508F">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7.贯彻标准的要求和措施建议</w:t>
      </w:r>
      <w:r>
        <w:rPr>
          <w:rFonts w:hint="eastAsia" w:ascii="仿宋_GB2312" w:hAnsi="仿宋_GB2312" w:eastAsia="仿宋_GB2312" w:cs="仿宋_GB2312"/>
          <w:sz w:val="28"/>
          <w:szCs w:val="28"/>
          <w:lang w:eastAsia="zh-CN"/>
        </w:rPr>
        <w:t>（包括组织措施、技术措施、过渡办法等）</w:t>
      </w:r>
    </w:p>
    <w:p w14:paraId="4CB42A5A">
      <w:pPr>
        <w:widowControl w:val="0"/>
        <w:kinsoku/>
        <w:autoSpaceDE/>
        <w:autoSpaceDN/>
        <w:spacing w:line="500" w:lineRule="exact"/>
        <w:ind w:firstLine="560"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sz w:val="28"/>
          <w:szCs w:val="28"/>
          <w:lang w:eastAsia="zh-CN"/>
        </w:rPr>
        <w:t>无。</w:t>
      </w:r>
    </w:p>
    <w:p w14:paraId="644606DE">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8．废止现行有关标准的建议</w:t>
      </w:r>
      <w:r>
        <w:rPr>
          <w:rFonts w:hint="eastAsia" w:ascii="仿宋_GB2312" w:hAnsi="仿宋_GB2312" w:eastAsia="仿宋_GB2312" w:cs="仿宋_GB2312"/>
          <w:sz w:val="28"/>
          <w:szCs w:val="28"/>
          <w:lang w:eastAsia="zh-CN"/>
        </w:rPr>
        <w:t>（修订时，应说明新旧标准的替代关系；如制定，写“无”）</w:t>
      </w:r>
    </w:p>
    <w:p w14:paraId="6E985F89">
      <w:pPr>
        <w:widowControl w:val="0"/>
        <w:kinsoku/>
        <w:autoSpaceDE/>
        <w:autoSpaceDN/>
        <w:spacing w:line="500" w:lineRule="exact"/>
        <w:ind w:firstLine="560"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sz w:val="28"/>
          <w:szCs w:val="28"/>
          <w:lang w:eastAsia="zh-CN"/>
        </w:rPr>
        <w:t>无。</w:t>
      </w:r>
    </w:p>
    <w:p w14:paraId="54063E6B">
      <w:pPr>
        <w:widowControl w:val="0"/>
        <w:kinsoku/>
        <w:autoSpaceDE/>
        <w:autoSpaceDN/>
        <w:spacing w:line="500" w:lineRule="exact"/>
        <w:ind w:firstLine="562"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b/>
          <w:sz w:val="28"/>
          <w:szCs w:val="28"/>
          <w:lang w:eastAsia="zh-CN"/>
        </w:rPr>
        <w:t>9.其他应予说明的事项</w:t>
      </w:r>
      <w:r>
        <w:rPr>
          <w:rFonts w:hint="eastAsia" w:ascii="仿宋_GB2312" w:hAnsi="仿宋_GB2312" w:eastAsia="仿宋_GB2312" w:cs="仿宋_GB2312"/>
          <w:sz w:val="28"/>
          <w:szCs w:val="28"/>
          <w:lang w:eastAsia="zh-CN"/>
        </w:rPr>
        <w:t>（陈述是否涉及专利及有关说明、本标准编制阶段与原计划有差异情况说明及原因等）</w:t>
      </w:r>
    </w:p>
    <w:p w14:paraId="5E747DD9">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w:t>
      </w:r>
    </w:p>
    <w:p w14:paraId="7E6485E9">
      <w:pPr>
        <w:widowControl w:val="0"/>
        <w:kinsoku/>
        <w:autoSpaceDE/>
        <w:autoSpaceDN/>
        <w:spacing w:line="500" w:lineRule="exact"/>
        <w:ind w:firstLine="562" w:firstLineChars="200"/>
        <w:jc w:val="both"/>
        <w:textAlignment w:val="auto"/>
        <w:rPr>
          <w:rFonts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10.附录</w:t>
      </w:r>
      <w:r>
        <w:rPr>
          <w:rFonts w:hint="eastAsia" w:ascii="仿宋_GB2312" w:hAnsi="仿宋_GB2312" w:eastAsia="仿宋_GB2312" w:cs="仿宋_GB2312"/>
          <w:sz w:val="28"/>
          <w:szCs w:val="28"/>
          <w:lang w:eastAsia="zh-CN"/>
        </w:rPr>
        <w:t>（如没有，写“无”）</w:t>
      </w:r>
    </w:p>
    <w:p w14:paraId="34D2BFDF">
      <w:pPr>
        <w:widowControl w:val="0"/>
        <w:kinsoku/>
        <w:autoSpaceDE/>
        <w:autoSpaceDN/>
        <w:spacing w:line="500" w:lineRule="exact"/>
        <w:ind w:firstLine="560" w:firstLineChars="200"/>
        <w:jc w:val="both"/>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w:t>
      </w:r>
    </w:p>
    <w:p w14:paraId="405B369B">
      <w:pPr>
        <w:widowControl w:val="0"/>
        <w:kinsoku/>
        <w:autoSpaceDE/>
        <w:autoSpaceDN/>
        <w:spacing w:line="500" w:lineRule="exact"/>
        <w:jc w:val="both"/>
        <w:textAlignment w:val="auto"/>
        <w:rPr>
          <w:rFonts w:ascii="仿宋_GB2312" w:hAnsi="仿宋_GB2312" w:eastAsia="仿宋_GB2312" w:cs="仿宋_GB2312"/>
          <w:sz w:val="28"/>
          <w:szCs w:val="28"/>
          <w:lang w:eastAsia="zh-CN"/>
        </w:rPr>
      </w:pPr>
    </w:p>
    <w:p w14:paraId="0B8FBF13">
      <w:pPr>
        <w:widowControl w:val="0"/>
        <w:kinsoku/>
        <w:autoSpaceDE/>
        <w:autoSpaceDN/>
        <w:spacing w:line="500" w:lineRule="exact"/>
        <w:jc w:val="both"/>
        <w:textAlignment w:val="auto"/>
        <w:rPr>
          <w:rFonts w:ascii="仿宋_GB2312" w:hAnsi="仿宋_GB2312" w:eastAsia="仿宋_GB2312" w:cs="仿宋_GB2312"/>
          <w:sz w:val="28"/>
          <w:szCs w:val="28"/>
          <w:lang w:eastAsia="zh-CN"/>
        </w:rPr>
      </w:pPr>
    </w:p>
    <w:p w14:paraId="32DAF60E">
      <w:pPr>
        <w:widowControl w:val="0"/>
        <w:kinsoku/>
        <w:autoSpaceDE/>
        <w:autoSpaceDN/>
        <w:spacing w:line="500" w:lineRule="exact"/>
        <w:ind w:firstLine="560" w:firstLineChars="200"/>
        <w:jc w:val="right"/>
        <w:textAlignment w:val="auto"/>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《小麦生产过程减损技术通则》团体标准起草组</w:t>
      </w:r>
    </w:p>
    <w:p w14:paraId="0018C595">
      <w:pPr>
        <w:widowControl w:val="0"/>
        <w:kinsoku/>
        <w:autoSpaceDE/>
        <w:autoSpaceDN/>
        <w:spacing w:line="500" w:lineRule="exact"/>
        <w:ind w:firstLine="560" w:firstLineChars="200"/>
        <w:jc w:val="center"/>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 xml:space="preserve">                                 </w:t>
      </w:r>
      <w:r>
        <w:rPr>
          <w:rFonts w:ascii="仿宋_GB2312" w:hAnsi="仿宋_GB2312" w:eastAsia="仿宋_GB2312" w:cs="仿宋_GB2312"/>
          <w:sz w:val="28"/>
          <w:szCs w:val="28"/>
          <w:lang w:eastAsia="zh-CN"/>
        </w:rPr>
        <w:t>2026</w:t>
      </w:r>
      <w:r>
        <w:rPr>
          <w:rFonts w:hint="eastAsia" w:ascii="仿宋_GB2312" w:hAnsi="仿宋_GB2312" w:eastAsia="仿宋_GB2312" w:cs="仿宋_GB2312"/>
          <w:sz w:val="28"/>
          <w:szCs w:val="28"/>
        </w:rPr>
        <w:t>年</w:t>
      </w:r>
      <w:r>
        <w:rPr>
          <w:rFonts w:ascii="仿宋_GB2312" w:hAnsi="仿宋_GB2312" w:eastAsia="仿宋_GB2312" w:cs="仿宋_GB2312"/>
          <w:sz w:val="28"/>
          <w:szCs w:val="28"/>
          <w:lang w:eastAsia="zh-CN"/>
        </w:rPr>
        <w:t>5</w:t>
      </w:r>
      <w:r>
        <w:rPr>
          <w:rFonts w:hint="eastAsia" w:ascii="仿宋_GB2312" w:hAnsi="仿宋_GB2312" w:eastAsia="仿宋_GB2312" w:cs="仿宋_GB2312"/>
          <w:sz w:val="28"/>
          <w:szCs w:val="28"/>
        </w:rPr>
        <w:t>月</w:t>
      </w:r>
      <w:r>
        <w:rPr>
          <w:rFonts w:ascii="仿宋_GB2312" w:hAnsi="仿宋_GB2312" w:eastAsia="仿宋_GB2312" w:cs="仿宋_GB2312"/>
          <w:sz w:val="28"/>
          <w:szCs w:val="28"/>
          <w:lang w:eastAsia="zh-CN"/>
        </w:rPr>
        <w:t>27</w:t>
      </w:r>
      <w:r>
        <w:rPr>
          <w:rFonts w:hint="eastAsia" w:ascii="仿宋_GB2312" w:hAnsi="仿宋_GB2312" w:eastAsia="仿宋_GB2312" w:cs="仿宋_GB2312"/>
          <w:sz w:val="28"/>
          <w:szCs w:val="28"/>
        </w:rPr>
        <w:t>日</w:t>
      </w:r>
    </w:p>
    <w:p w14:paraId="31631A0B">
      <w:pPr>
        <w:rPr>
          <w:rFonts w:ascii="仿宋_GB2312" w:hAnsi="仿宋_GB2312" w:eastAsia="仿宋_GB2312"/>
        </w:rPr>
      </w:pPr>
    </w:p>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Meiryo">
    <w:altName w:val="Yu Gothic UI"/>
    <w:panose1 w:val="020B0604030504040204"/>
    <w:charset w:val="80"/>
    <w:family w:val="swiss"/>
    <w:pitch w:val="default"/>
    <w:sig w:usb0="00000000" w:usb1="00000000" w:usb2="08000012" w:usb3="00000000" w:csb0="0002009F" w:csb1="00000000"/>
  </w:font>
  <w:font w:name="Hiragino Sans">
    <w:altName w:val="Yu Gothic UI Light"/>
    <w:panose1 w:val="020B0300000000000000"/>
    <w:charset w:val="80"/>
    <w:family w:val="auto"/>
    <w:pitch w:val="default"/>
    <w:sig w:usb0="00000000" w:usb1="00000000" w:usb2="00000012" w:usb3="00000000" w:csb0="0002000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BBE"/>
    <w:rsid w:val="001E54BB"/>
    <w:rsid w:val="0043484B"/>
    <w:rsid w:val="00571A29"/>
    <w:rsid w:val="005F0F5D"/>
    <w:rsid w:val="006755CA"/>
    <w:rsid w:val="00675D4D"/>
    <w:rsid w:val="00677FC8"/>
    <w:rsid w:val="00880BBE"/>
    <w:rsid w:val="00916B4C"/>
    <w:rsid w:val="00923AEA"/>
    <w:rsid w:val="00C908AF"/>
    <w:rsid w:val="00D67401"/>
    <w:rsid w:val="00DC1754"/>
    <w:rsid w:val="00ED283F"/>
    <w:rsid w:val="0B2F40D9"/>
    <w:rsid w:val="6E524806"/>
    <w:rsid w:val="DAEF2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9"/>
    <w:qFormat/>
    <w:uiPriority w:val="9"/>
    <w:pPr>
      <w:keepNext/>
      <w:keepLines/>
      <w:widowControl w:val="0"/>
      <w:kinsoku/>
      <w:autoSpaceDE/>
      <w:autoSpaceDN/>
      <w:adjustRightInd/>
      <w:snapToGrid/>
      <w:spacing w:line="360" w:lineRule="auto"/>
      <w:ind w:firstLine="442" w:firstLineChars="200"/>
      <w:jc w:val="both"/>
      <w:textAlignment w:val="auto"/>
      <w:outlineLvl w:val="1"/>
    </w:pPr>
    <w:rPr>
      <w:rFonts w:ascii="Cambria" w:hAnsi="Cambria" w:eastAsia="楷体" w:cs="Times New Roman"/>
      <w:b/>
      <w:bCs/>
      <w:snapToGrid/>
      <w:color w:val="auto"/>
      <w:kern w:val="2"/>
      <w:sz w:val="22"/>
      <w:szCs w:val="32"/>
      <w:lang w:eastAsia="zh-CN"/>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0"/>
    <w:uiPriority w:val="0"/>
    <w:pPr>
      <w:spacing w:after="120"/>
      <w:ind w:left="420" w:leftChars="200"/>
    </w:pPr>
  </w:style>
  <w:style w:type="paragraph" w:styleId="4">
    <w:name w:val="Date"/>
    <w:basedOn w:val="1"/>
    <w:next w:val="1"/>
    <w:link w:val="12"/>
    <w:uiPriority w:val="0"/>
    <w:pPr>
      <w:ind w:left="100" w:leftChars="2500"/>
    </w:pPr>
  </w:style>
  <w:style w:type="paragraph" w:styleId="5">
    <w:name w:val="Normal (Web)"/>
    <w:basedOn w:val="1"/>
    <w:qFormat/>
    <w:uiPriority w:val="99"/>
    <w:pPr>
      <w:widowControl w:val="0"/>
      <w:kinsoku/>
      <w:autoSpaceDE/>
      <w:autoSpaceDN/>
      <w:adjustRightInd/>
      <w:snapToGrid/>
      <w:spacing w:before="100" w:beforeAutospacing="1" w:after="100" w:afterAutospacing="1"/>
      <w:textAlignment w:val="auto"/>
    </w:pPr>
    <w:rPr>
      <w:rFonts w:ascii="Calibri" w:hAnsi="Calibri" w:eastAsia="宋体" w:cs="Times New Roman"/>
      <w:snapToGrid/>
      <w:color w:val="auto"/>
      <w:sz w:val="24"/>
      <w:szCs w:val="24"/>
      <w:lang w:eastAsia="zh-CN"/>
    </w:rPr>
  </w:style>
  <w:style w:type="paragraph" w:styleId="6">
    <w:name w:val="Body Text First Indent 2"/>
    <w:basedOn w:val="3"/>
    <w:link w:val="11"/>
    <w:qFormat/>
    <w:uiPriority w:val="99"/>
    <w:pPr>
      <w:widowControl w:val="0"/>
      <w:tabs>
        <w:tab w:val="left" w:pos="2268"/>
      </w:tabs>
      <w:kinsoku/>
      <w:autoSpaceDE/>
      <w:autoSpaceDN/>
      <w:adjustRightInd/>
      <w:snapToGrid/>
      <w:spacing w:after="0" w:line="560" w:lineRule="exact"/>
      <w:ind w:left="0" w:leftChars="0" w:firstLine="420" w:firstLineChars="200"/>
      <w:jc w:val="both"/>
      <w:textAlignment w:val="auto"/>
    </w:pPr>
    <w:rPr>
      <w:rFonts w:ascii="仿宋_GB2312" w:hAnsi="Calibri" w:eastAsia="宋体" w:cs="Times New Roman"/>
      <w:snapToGrid/>
      <w:color w:val="auto"/>
      <w:kern w:val="2"/>
      <w:sz w:val="30"/>
      <w:szCs w:val="24"/>
      <w:lang w:eastAsia="zh-CN"/>
    </w:rPr>
  </w:style>
  <w:style w:type="character" w:customStyle="1" w:styleId="9">
    <w:name w:val="标题 2 字符"/>
    <w:basedOn w:val="8"/>
    <w:link w:val="2"/>
    <w:uiPriority w:val="9"/>
    <w:rPr>
      <w:rFonts w:ascii="Cambria" w:hAnsi="Cambria" w:eastAsia="楷体" w:cs="Times New Roman"/>
      <w:b/>
      <w:bCs/>
      <w:kern w:val="2"/>
      <w:sz w:val="22"/>
      <w:szCs w:val="32"/>
    </w:rPr>
  </w:style>
  <w:style w:type="character" w:customStyle="1" w:styleId="10">
    <w:name w:val="正文文本缩进 字符"/>
    <w:basedOn w:val="8"/>
    <w:link w:val="3"/>
    <w:uiPriority w:val="0"/>
    <w:rPr>
      <w:rFonts w:ascii="Arial" w:hAnsi="Arial" w:eastAsia="Arial" w:cs="Arial"/>
      <w:snapToGrid w:val="0"/>
      <w:color w:val="000000"/>
      <w:sz w:val="21"/>
      <w:szCs w:val="21"/>
      <w:lang w:eastAsia="en-US"/>
    </w:rPr>
  </w:style>
  <w:style w:type="character" w:customStyle="1" w:styleId="11">
    <w:name w:val="正文文本首行缩进 2 字符"/>
    <w:basedOn w:val="10"/>
    <w:link w:val="6"/>
    <w:qFormat/>
    <w:uiPriority w:val="99"/>
    <w:rPr>
      <w:rFonts w:ascii="仿宋_GB2312" w:hAnsi="Calibri" w:eastAsia="宋体" w:cs="Times New Roman"/>
      <w:snapToGrid/>
      <w:color w:val="000000"/>
      <w:kern w:val="2"/>
      <w:sz w:val="30"/>
      <w:szCs w:val="24"/>
      <w:lang w:eastAsia="en-US"/>
    </w:rPr>
  </w:style>
  <w:style w:type="character" w:customStyle="1" w:styleId="12">
    <w:name w:val="日期 字符"/>
    <w:basedOn w:val="8"/>
    <w:link w:val="4"/>
    <w:qFormat/>
    <w:uiPriority w:val="0"/>
    <w:rPr>
      <w:rFonts w:ascii="Arial" w:hAnsi="Arial" w:eastAsia="Arial" w:cs="Arial"/>
      <w:snapToGrid w:val="0"/>
      <w:color w:val="000000"/>
      <w:sz w:val="21"/>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6357</Words>
  <Characters>6934</Characters>
  <Lines>52</Lines>
  <Paragraphs>14</Paragraphs>
  <TotalTime>5</TotalTime>
  <ScaleCrop>false</ScaleCrop>
  <LinksUpToDate>false</LinksUpToDate>
  <CharactersWithSpaces>7155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2026-05-27T09:56:00Z</dcterms:created>
  <dc:creator>lishu</dc:creator>
  <cp:lastModifiedBy>李舒畅</cp:lastModifiedBy>
  <dcterms:modified xsi:type="dcterms:W3CDTF">2026-06-01T02:00:38Z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eyJoZGlkIjoiNTJhODhkZjViODYwNWU1MWFlOGU5MDkzMjY5M2M2NDEiLCJ1c2VySWQiOiIzMzk1MDMzMzUifQ==</vt:lpwstr>
  </property>
  <property fmtid="{D5CDD505-2E9C-101B-9397-08002B2CF9AE}" pid="4" name="ICV">
    <vt:lpwstr>0A1D4775C11B41618E70CDB0C55C62D4_12</vt:lpwstr>
  </property>
</Properties>
</file>